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CC" w:rsidRPr="00A316C5" w:rsidRDefault="00B33916" w:rsidP="008D22CC">
      <w:pPr>
        <w:pStyle w:val="PlainText"/>
        <w:rPr>
          <w:rFonts w:ascii="Arial" w:hAnsi="Arial" w:cs="Arial"/>
          <w:b/>
          <w:sz w:val="22"/>
          <w:szCs w:val="22"/>
        </w:rPr>
      </w:pPr>
      <w:r>
        <w:rPr>
          <w:rFonts w:ascii="Arial" w:hAnsi="Arial" w:cs="Arial"/>
          <w:b/>
          <w:sz w:val="22"/>
          <w:szCs w:val="22"/>
        </w:rPr>
        <w:t>USC Brain Stimulation</w:t>
      </w:r>
      <w:r w:rsidR="008D22CC" w:rsidRPr="00A316C5">
        <w:rPr>
          <w:rFonts w:ascii="Arial" w:hAnsi="Arial" w:cs="Arial"/>
          <w:b/>
          <w:sz w:val="22"/>
          <w:szCs w:val="22"/>
        </w:rPr>
        <w:t xml:space="preserve"> Lab </w:t>
      </w:r>
      <w:r>
        <w:rPr>
          <w:rFonts w:ascii="Arial" w:hAnsi="Arial" w:cs="Arial"/>
          <w:b/>
          <w:sz w:val="22"/>
          <w:szCs w:val="22"/>
        </w:rPr>
        <w:t>General Policies</w:t>
      </w:r>
      <w:r w:rsidR="008D22CC" w:rsidRPr="00A316C5">
        <w:rPr>
          <w:rFonts w:ascii="Arial" w:hAnsi="Arial" w:cs="Arial"/>
          <w:b/>
          <w:sz w:val="22"/>
          <w:szCs w:val="22"/>
        </w:rPr>
        <w:t xml:space="preserve">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Roger D. Newman-Norlund Ph.D.</w:t>
      </w: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Version </w:t>
      </w:r>
      <w:r w:rsidR="00B33916">
        <w:rPr>
          <w:rFonts w:ascii="Arial" w:hAnsi="Arial" w:cs="Arial"/>
          <w:sz w:val="22"/>
          <w:szCs w:val="22"/>
        </w:rPr>
        <w:t>September</w:t>
      </w:r>
      <w:r w:rsidRPr="00A316C5">
        <w:rPr>
          <w:rFonts w:ascii="Arial" w:hAnsi="Arial" w:cs="Arial"/>
          <w:sz w:val="22"/>
          <w:szCs w:val="22"/>
        </w:rPr>
        <w:t xml:space="preserve"> 1, 2010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1. General: TMS may only be performed upon completion of the Brain Stimulation Laboratory Core TMS Training and with the subsequent written approval of the Lab Director, Dr. Roger Newman-Norlund.  This training includes confirmation of completion of required USC Human Subjects and HIPAA training modules, training in human subject research, familiarity with Brain Stimulation Laboratory policies, and familiarity with the safe operation of the TMS software and hardware. When available, primary investigators of TMS studies will also complete the official TMS safety and application course at MUSC prior to operating TMS equipment at USC.  TMS may only be performed in the official USC Brain Stimulation Lab at the Discovery I site.</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A USC-approved, IRB-approved, TMS-trained investigator may perform single pulse TMS studies, double-pulse TMS studies (such as those used to measure intra-cortical inhibition), theta-burst studies, low frequency (1 Hz or less) repetitive TMS, or repetitive TMS protocols which have not resulted in seizures or other side-effects in healthy subjects without supervision if done in accordance with these policies.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For single pulse TMS studies of subjects with a condition associated with reduced seizure threshold (such as structural brain abnormality or neurologic condition) and for any studies using TMS in the repetitive-TMS mode at a frequency &gt; 1 Hz, additional guidelines must be followed.    These studies </w:t>
      </w:r>
      <w:r>
        <w:rPr>
          <w:rFonts w:ascii="Arial" w:hAnsi="Arial" w:cs="Arial"/>
          <w:sz w:val="22"/>
          <w:szCs w:val="22"/>
        </w:rPr>
        <w:t>can only be performed when a</w:t>
      </w:r>
      <w:r w:rsidRPr="00A316C5">
        <w:rPr>
          <w:rFonts w:ascii="Arial" w:hAnsi="Arial" w:cs="Arial"/>
          <w:sz w:val="22"/>
          <w:szCs w:val="22"/>
        </w:rPr>
        <w:t xml:space="preserve"> certified American Red Cross </w:t>
      </w:r>
      <w:r>
        <w:rPr>
          <w:rFonts w:ascii="Arial" w:hAnsi="Arial" w:cs="Arial"/>
          <w:sz w:val="22"/>
          <w:szCs w:val="22"/>
        </w:rPr>
        <w:t xml:space="preserve">Adult CPR / First Aid trained investigator is present </w:t>
      </w:r>
      <w:r w:rsidRPr="00A316C5">
        <w:rPr>
          <w:rFonts w:ascii="Arial" w:hAnsi="Arial" w:cs="Arial"/>
          <w:sz w:val="22"/>
          <w:szCs w:val="22"/>
        </w:rPr>
        <w:t xml:space="preserve">on the second floor of the Discovery </w:t>
      </w:r>
      <w:proofErr w:type="gramStart"/>
      <w:r w:rsidRPr="00A316C5">
        <w:rPr>
          <w:rFonts w:ascii="Arial" w:hAnsi="Arial" w:cs="Arial"/>
          <w:sz w:val="22"/>
          <w:szCs w:val="22"/>
        </w:rPr>
        <w:t>I</w:t>
      </w:r>
      <w:proofErr w:type="gramEnd"/>
      <w:r w:rsidRPr="00A316C5">
        <w:rPr>
          <w:rFonts w:ascii="Arial" w:hAnsi="Arial" w:cs="Arial"/>
          <w:sz w:val="22"/>
          <w:szCs w:val="22"/>
        </w:rPr>
        <w:t xml:space="preserve"> building.  </w:t>
      </w:r>
      <w:proofErr w:type="gramStart"/>
      <w:r w:rsidRPr="00A316C5">
        <w:rPr>
          <w:rFonts w:ascii="Arial" w:hAnsi="Arial" w:cs="Arial"/>
          <w:sz w:val="22"/>
          <w:szCs w:val="22"/>
        </w:rPr>
        <w:t>In the unlikely case that a seizure does occur (the primary safety concern), a proper response must be initiated.</w:t>
      </w:r>
      <w:proofErr w:type="gramEnd"/>
      <w:r w:rsidRPr="00A316C5">
        <w:rPr>
          <w:rFonts w:ascii="Arial" w:hAnsi="Arial" w:cs="Arial"/>
          <w:sz w:val="22"/>
          <w:szCs w:val="22"/>
        </w:rPr>
        <w:t xml:space="preserve">  All investigators will be trained to recognition and respond to seizures (see item 9 below).  Emergency personnel (Palmetto Richland) will be notified (by phone) immediately. In order to minimize the chances of inducing a seizure, all TMS protocols of any variety must be approved by Dr. Newman-Norlund </w:t>
      </w:r>
      <w:r w:rsidRPr="00A316C5">
        <w:rPr>
          <w:rFonts w:ascii="Arial" w:hAnsi="Arial" w:cs="Arial"/>
          <w:b/>
          <w:sz w:val="22"/>
          <w:szCs w:val="22"/>
        </w:rPr>
        <w:t>and</w:t>
      </w:r>
      <w:r w:rsidRPr="00A316C5">
        <w:rPr>
          <w:rFonts w:ascii="Arial" w:hAnsi="Arial" w:cs="Arial"/>
          <w:sz w:val="22"/>
          <w:szCs w:val="22"/>
        </w:rPr>
        <w:t xml:space="preserve"> be in accordance with current recommended safety guidelines</w:t>
      </w:r>
      <w:r w:rsidRPr="00A316C5">
        <w:rPr>
          <w:rFonts w:ascii="Arial" w:hAnsi="Arial" w:cs="Arial"/>
          <w:sz w:val="22"/>
          <w:szCs w:val="22"/>
          <w:vertAlign w:val="superscript"/>
        </w:rPr>
        <w:t>41</w:t>
      </w:r>
      <w:r w:rsidRPr="00A316C5">
        <w:rPr>
          <w:rFonts w:ascii="Arial" w:hAnsi="Arial" w:cs="Arial"/>
          <w:sz w:val="22"/>
          <w:szCs w:val="22"/>
        </w:rPr>
        <w:t xml:space="preserve"> prior to beginning any study.</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proofErr w:type="gramStart"/>
      <w:r w:rsidRPr="00A316C5">
        <w:rPr>
          <w:rFonts w:ascii="Arial" w:hAnsi="Arial" w:cs="Arial"/>
          <w:sz w:val="22"/>
          <w:szCs w:val="22"/>
        </w:rPr>
        <w:t>tDCS</w:t>
      </w:r>
      <w:proofErr w:type="gramEnd"/>
      <w:r w:rsidRPr="00A316C5">
        <w:rPr>
          <w:rFonts w:ascii="Arial" w:hAnsi="Arial" w:cs="Arial"/>
          <w:sz w:val="22"/>
          <w:szCs w:val="22"/>
        </w:rPr>
        <w:t xml:space="preserve"> may be performed in accordance with IRB-approved studies provided that investigators complete the USC Brain Stimulation Lab tDCS training course.  This course will ensure that investigators are familiar with </w:t>
      </w:r>
      <w:r>
        <w:rPr>
          <w:rFonts w:ascii="Arial" w:hAnsi="Arial" w:cs="Arial"/>
          <w:sz w:val="22"/>
          <w:szCs w:val="22"/>
        </w:rPr>
        <w:t xml:space="preserve">all potential risks of </w:t>
      </w:r>
      <w:r w:rsidRPr="00A316C5">
        <w:rPr>
          <w:rFonts w:ascii="Arial" w:hAnsi="Arial" w:cs="Arial"/>
          <w:sz w:val="22"/>
          <w:szCs w:val="22"/>
        </w:rPr>
        <w:t xml:space="preserve">tDCS.  Participants will also </w:t>
      </w:r>
      <w:r>
        <w:rPr>
          <w:rFonts w:ascii="Arial" w:hAnsi="Arial" w:cs="Arial"/>
          <w:sz w:val="22"/>
          <w:szCs w:val="22"/>
        </w:rPr>
        <w:t xml:space="preserve">be required to </w:t>
      </w:r>
      <w:r w:rsidRPr="00A316C5">
        <w:rPr>
          <w:rFonts w:ascii="Arial" w:hAnsi="Arial" w:cs="Arial"/>
          <w:sz w:val="22"/>
          <w:szCs w:val="22"/>
        </w:rPr>
        <w:t xml:space="preserve">demonstrate proper set-up / break-down of the equipment along with safe application of the technology.  Training will be provided by senior faculty (Dr. Newman-Norlund, Dr. Julius Fridriksson) </w:t>
      </w:r>
      <w:r>
        <w:rPr>
          <w:rFonts w:ascii="Arial" w:hAnsi="Arial" w:cs="Arial"/>
          <w:sz w:val="22"/>
          <w:szCs w:val="22"/>
        </w:rPr>
        <w:t>who oversee</w:t>
      </w:r>
      <w:r w:rsidRPr="00A316C5">
        <w:rPr>
          <w:rFonts w:ascii="Arial" w:hAnsi="Arial" w:cs="Arial"/>
          <w:sz w:val="22"/>
          <w:szCs w:val="22"/>
        </w:rPr>
        <w:t xml:space="preserve"> the USC Brain Stimulation Lab.  </w:t>
      </w: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     </w:t>
      </w: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2. Hardware: Prior to performing TMS/tDCS studies, the investigator must demonstrate familiarity with, and safe operation of, all hardware involved. (This includes buts is not limited to computers, trigger cables, </w:t>
      </w:r>
      <w:r>
        <w:rPr>
          <w:rFonts w:ascii="Arial" w:hAnsi="Arial" w:cs="Arial"/>
          <w:sz w:val="22"/>
          <w:szCs w:val="22"/>
        </w:rPr>
        <w:t xml:space="preserve">sham blinding devices, </w:t>
      </w:r>
      <w:r w:rsidRPr="00A316C5">
        <w:rPr>
          <w:rFonts w:ascii="Arial" w:hAnsi="Arial" w:cs="Arial"/>
          <w:sz w:val="22"/>
          <w:szCs w:val="22"/>
        </w:rPr>
        <w:t xml:space="preserve">the TMS front panel, amplifiers, TMS coils, and (if used) the frameless </w:t>
      </w:r>
      <w:proofErr w:type="spellStart"/>
      <w:r w:rsidRPr="00A316C5">
        <w:rPr>
          <w:rFonts w:ascii="Arial" w:hAnsi="Arial" w:cs="Arial"/>
          <w:sz w:val="22"/>
          <w:szCs w:val="22"/>
        </w:rPr>
        <w:t>stereotaxic</w:t>
      </w:r>
      <w:proofErr w:type="spellEnd"/>
      <w:r w:rsidRPr="00A316C5">
        <w:rPr>
          <w:rFonts w:ascii="Arial" w:hAnsi="Arial" w:cs="Arial"/>
          <w:sz w:val="22"/>
          <w:szCs w:val="22"/>
        </w:rPr>
        <w:t xml:space="preserve"> components.) These components are very expensive and the investigator assumes cost of replacement if devices are damaged due to improper or irresponsible use. Familiarity with replaceable components, such as EMG lead materials, is also important. Please notify Dr. Newman-Norlund if replaceable supplies need re-ordering.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3. Software: The investigator must demonstrate familiarity with all software to be employed including Scope for motor evoked potential recordings, programs needed to transfer TMS/tDCS data as needed and (if used) for frameless </w:t>
      </w:r>
      <w:proofErr w:type="spellStart"/>
      <w:r w:rsidRPr="00A316C5">
        <w:rPr>
          <w:rFonts w:ascii="Arial" w:hAnsi="Arial" w:cs="Arial"/>
          <w:sz w:val="22"/>
          <w:szCs w:val="22"/>
        </w:rPr>
        <w:t>stereotaxic</w:t>
      </w:r>
      <w:proofErr w:type="spellEnd"/>
      <w:r w:rsidRPr="00A316C5">
        <w:rPr>
          <w:rFonts w:ascii="Arial" w:hAnsi="Arial" w:cs="Arial"/>
          <w:sz w:val="22"/>
          <w:szCs w:val="22"/>
        </w:rPr>
        <w:t xml:space="preserve"> methods. No software is to be installed by users on TMS/tDCS lab computers—software is to be installed only by the Brain Stimulation </w:t>
      </w:r>
      <w:r w:rsidRPr="00A316C5">
        <w:rPr>
          <w:rFonts w:ascii="Arial" w:hAnsi="Arial" w:cs="Arial"/>
          <w:sz w:val="22"/>
          <w:szCs w:val="22"/>
        </w:rPr>
        <w:lastRenderedPageBreak/>
        <w:t xml:space="preserve">Laboratory Core personnel, otherwise software conflicts will be inevitable. The investigator must contact the Dr. Newman-Norlund for a TMS room computer account/login/password.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4. Compliance with rules: The investigator must comply with all USC IRB and Brain Stimulation Laboratory rules, general and those specifically outlined herein. Approval must be obtained from USC IRB and from the director of the Brain Stimulation Laboratory for all studies performed. Paramount among these rules for the current context is that TMS/tDCS may only be performed in the Discovery I site (Suite 216). A TMS, tDCS and Neurologic Screening Form must be completed as below.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5. Earplugs: All subjects in the TMS room during any TMS studies must wear protective earplugs.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6. TMS/tDCS Screening</w:t>
      </w:r>
      <w:r>
        <w:rPr>
          <w:rFonts w:ascii="Arial" w:hAnsi="Arial" w:cs="Arial"/>
          <w:sz w:val="22"/>
          <w:szCs w:val="22"/>
        </w:rPr>
        <w:t xml:space="preserve">:  According to Dr. Mark George (MUSC), a full neurologic evaluation by a medical doctor has not been shown to be necessary prior to TMS, as it </w:t>
      </w:r>
      <w:r w:rsidRPr="00211B7B">
        <w:rPr>
          <w:rFonts w:ascii="Arial" w:hAnsi="Arial" w:cs="Arial"/>
          <w:b/>
          <w:sz w:val="22"/>
          <w:szCs w:val="22"/>
        </w:rPr>
        <w:t>DOES NOT</w:t>
      </w:r>
      <w:r>
        <w:rPr>
          <w:rFonts w:ascii="Arial" w:hAnsi="Arial" w:cs="Arial"/>
          <w:sz w:val="22"/>
          <w:szCs w:val="22"/>
        </w:rPr>
        <w:t xml:space="preserve"> add to the overall safety of the participant.  This finding was substantiated by a recent TMS Consensus Group.  </w:t>
      </w:r>
      <w:r w:rsidRPr="00A316C5">
        <w:rPr>
          <w:rFonts w:ascii="Arial" w:hAnsi="Arial" w:cs="Arial"/>
          <w:sz w:val="22"/>
          <w:szCs w:val="22"/>
        </w:rPr>
        <w:t xml:space="preserve">For all subjects, a TMS/tDCS Screening Form, akin to an MRI Screening Form, must be completed for all subjects, signed prior to any TMS/tDCS performance, and placed in the ‘signed form bin’ that sits on the TMS Room desk. Any </w:t>
      </w:r>
      <w:r>
        <w:rPr>
          <w:rFonts w:ascii="Arial" w:hAnsi="Arial" w:cs="Arial"/>
          <w:sz w:val="22"/>
          <w:szCs w:val="22"/>
        </w:rPr>
        <w:t>‘</w:t>
      </w:r>
      <w:r w:rsidRPr="00A316C5">
        <w:rPr>
          <w:rFonts w:ascii="Arial" w:hAnsi="Arial" w:cs="Arial"/>
          <w:sz w:val="22"/>
          <w:szCs w:val="22"/>
        </w:rPr>
        <w:t>Yes</w:t>
      </w:r>
      <w:r>
        <w:rPr>
          <w:rFonts w:ascii="Arial" w:hAnsi="Arial" w:cs="Arial"/>
          <w:sz w:val="22"/>
          <w:szCs w:val="22"/>
        </w:rPr>
        <w:t>’</w:t>
      </w:r>
      <w:r w:rsidRPr="00A316C5">
        <w:rPr>
          <w:rFonts w:ascii="Arial" w:hAnsi="Arial" w:cs="Arial"/>
          <w:sz w:val="22"/>
          <w:szCs w:val="22"/>
        </w:rPr>
        <w:t xml:space="preserve"> response on the tDCS screening form (other than item1, which is a relative contraindication, and may therefore be approved on a case-by-case basis as an exception by Dr. Newman-Norlund) requires that the subject be explicitly approved by Dr. Newman-Norlund and a medical doctor before tDCS is performed. Because of the increased risk of TMS, a </w:t>
      </w:r>
      <w:r>
        <w:rPr>
          <w:rFonts w:ascii="Arial" w:hAnsi="Arial" w:cs="Arial"/>
          <w:sz w:val="22"/>
          <w:szCs w:val="22"/>
        </w:rPr>
        <w:t>‘</w:t>
      </w:r>
      <w:r w:rsidRPr="00A316C5">
        <w:rPr>
          <w:rFonts w:ascii="Arial" w:hAnsi="Arial" w:cs="Arial"/>
          <w:sz w:val="22"/>
          <w:szCs w:val="22"/>
        </w:rPr>
        <w:t>Yes</w:t>
      </w:r>
      <w:r>
        <w:rPr>
          <w:rFonts w:ascii="Arial" w:hAnsi="Arial" w:cs="Arial"/>
          <w:sz w:val="22"/>
          <w:szCs w:val="22"/>
        </w:rPr>
        <w:t>’ response</w:t>
      </w:r>
      <w:r w:rsidRPr="00A316C5">
        <w:rPr>
          <w:rFonts w:ascii="Arial" w:hAnsi="Arial" w:cs="Arial"/>
          <w:sz w:val="22"/>
          <w:szCs w:val="22"/>
        </w:rPr>
        <w:t xml:space="preserve"> to any of the items on the TMS Screening form (with the exception of items 10, 12, and 13) precludes performance of any variety of TMS unless explicit exception is granted by Dr. Newman-Norlund and a medical doctor</w:t>
      </w:r>
      <w:r>
        <w:rPr>
          <w:rFonts w:ascii="Arial" w:hAnsi="Arial" w:cs="Arial"/>
          <w:sz w:val="22"/>
          <w:szCs w:val="22"/>
        </w:rPr>
        <w:t>.  Participants answering ‘Y</w:t>
      </w:r>
      <w:r w:rsidRPr="00A316C5">
        <w:rPr>
          <w:rFonts w:ascii="Arial" w:hAnsi="Arial" w:cs="Arial"/>
          <w:sz w:val="22"/>
          <w:szCs w:val="22"/>
        </w:rPr>
        <w:t>es</w:t>
      </w:r>
      <w:r>
        <w:rPr>
          <w:rFonts w:ascii="Arial" w:hAnsi="Arial" w:cs="Arial"/>
          <w:sz w:val="22"/>
          <w:szCs w:val="22"/>
        </w:rPr>
        <w:t>’</w:t>
      </w:r>
      <w:r w:rsidRPr="00A316C5">
        <w:rPr>
          <w:rFonts w:ascii="Arial" w:hAnsi="Arial" w:cs="Arial"/>
          <w:sz w:val="22"/>
          <w:szCs w:val="22"/>
        </w:rPr>
        <w:t xml:space="preserve"> to item 10 may still undergo TMS, provided medicines are not being used to treat depression and/or psychotic conditions.  Questionable medications will be referred for approval by a medical doctor prior to participation in the study.  In addition, a </w:t>
      </w:r>
      <w:r>
        <w:rPr>
          <w:rFonts w:ascii="Arial" w:hAnsi="Arial" w:cs="Arial"/>
          <w:sz w:val="22"/>
          <w:szCs w:val="22"/>
        </w:rPr>
        <w:t>‘Yes’ response</w:t>
      </w:r>
      <w:r w:rsidRPr="00A316C5">
        <w:rPr>
          <w:rFonts w:ascii="Arial" w:hAnsi="Arial" w:cs="Arial"/>
          <w:sz w:val="22"/>
          <w:szCs w:val="22"/>
        </w:rPr>
        <w:t xml:space="preserve"> to any question on the Neurologic Screening Form will preclude </w:t>
      </w:r>
      <w:r>
        <w:rPr>
          <w:rFonts w:ascii="Arial" w:hAnsi="Arial" w:cs="Arial"/>
          <w:sz w:val="22"/>
          <w:szCs w:val="22"/>
        </w:rPr>
        <w:t>participation in any TMS study.</w:t>
      </w:r>
      <w:r w:rsidRPr="00A316C5">
        <w:rPr>
          <w:rFonts w:ascii="Arial" w:hAnsi="Arial" w:cs="Arial"/>
          <w:sz w:val="22"/>
          <w:szCs w:val="22"/>
        </w:rPr>
        <w:t xml:space="preserve">  Participants will be advised to seek a medical evaluation to determine the cause of their neurologic symptoms.  When a participant is studied a second time, either a new screening form must be completed, or the prior form must be initialed/dated to indicate that all responses are still accurate.  </w:t>
      </w: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 </w:t>
      </w: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The following drugs have been identified as having seizure threshold lowering capability.  As per the findings of the most recent systematic review on TMS safety</w:t>
      </w:r>
      <w:r w:rsidRPr="00A316C5">
        <w:rPr>
          <w:rFonts w:ascii="Arial" w:hAnsi="Arial" w:cs="Arial"/>
          <w:sz w:val="22"/>
          <w:szCs w:val="22"/>
          <w:vertAlign w:val="superscript"/>
        </w:rPr>
        <w:t>41</w:t>
      </w:r>
      <w:r w:rsidRPr="00A316C5">
        <w:rPr>
          <w:rFonts w:ascii="Arial" w:hAnsi="Arial" w:cs="Arial"/>
          <w:sz w:val="22"/>
          <w:szCs w:val="22"/>
        </w:rPr>
        <w:t xml:space="preserve">, the drugs have been divided into two groups:  relative hazards and strong relative hazards.  The USC Brain Stimulation Lab will not expose participants to TMS or tDCS if they are taking the drugs and going through withdrawal of the drugs in either category.  Only lab personnel cleared to perform TMS and tDCS on subjects per “1.” are authorized to screen participants for these drugs.  A review of seizure threshold lowering drugs will be included as part USC Brain Stimulation Lab Certification, and screeners will maintain the following list of drugs during the screening process.  The list of seizure threshold lowering drugs will also be made available to all participants during the screening process.  Participants taking drugs for depression and/or psychotic conditions that are not on the list will be referred to a medical doctor before being allowed to participate in the study.       </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b/>
          <w:sz w:val="22"/>
          <w:szCs w:val="22"/>
          <w:u w:val="single"/>
        </w:rPr>
      </w:pPr>
      <w:r w:rsidRPr="00A316C5">
        <w:rPr>
          <w:rFonts w:ascii="Arial" w:hAnsi="Arial" w:cs="Arial"/>
          <w:b/>
          <w:sz w:val="22"/>
          <w:szCs w:val="22"/>
          <w:u w:val="single"/>
        </w:rPr>
        <w:t>Relative Hazards</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Mianserin</w:t>
      </w:r>
      <w:proofErr w:type="spellEnd"/>
      <w:r w:rsidRPr="00A316C5">
        <w:rPr>
          <w:rFonts w:ascii="Arial" w:hAnsi="Arial" w:cs="Arial"/>
        </w:rPr>
        <w:t xml:space="preserve"> (</w:t>
      </w:r>
      <w:proofErr w:type="spellStart"/>
      <w:r w:rsidRPr="00A316C5">
        <w:rPr>
          <w:rFonts w:ascii="Arial" w:hAnsi="Arial" w:cs="Arial"/>
        </w:rPr>
        <w:t>Bolvidon</w:t>
      </w:r>
      <w:proofErr w:type="spellEnd"/>
      <w:r w:rsidRPr="00A316C5">
        <w:rPr>
          <w:rFonts w:ascii="Arial" w:hAnsi="Arial" w:cs="Arial"/>
        </w:rPr>
        <w:t xml:space="preserve">, </w:t>
      </w:r>
      <w:proofErr w:type="spellStart"/>
      <w:r w:rsidRPr="00A316C5">
        <w:rPr>
          <w:rFonts w:ascii="Arial" w:hAnsi="Arial" w:cs="Arial"/>
        </w:rPr>
        <w:t>Norval</w:t>
      </w:r>
      <w:proofErr w:type="spellEnd"/>
      <w:r w:rsidRPr="00A316C5">
        <w:rPr>
          <w:rFonts w:ascii="Arial" w:hAnsi="Arial" w:cs="Arial"/>
        </w:rPr>
        <w:t xml:space="preserve">, </w:t>
      </w:r>
      <w:proofErr w:type="spellStart"/>
      <w:r w:rsidRPr="00A316C5">
        <w:rPr>
          <w:rFonts w:ascii="Arial" w:hAnsi="Arial" w:cs="Arial"/>
        </w:rPr>
        <w:t>Tolvon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Fluoxetine</w:t>
      </w:r>
      <w:proofErr w:type="spellEnd"/>
      <w:r w:rsidRPr="00A316C5">
        <w:rPr>
          <w:rFonts w:ascii="Arial" w:hAnsi="Arial" w:cs="Arial"/>
        </w:rPr>
        <w:t xml:space="preserve"> (Prozac)</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Fluvoxamine</w:t>
      </w:r>
      <w:proofErr w:type="spellEnd"/>
      <w:r w:rsidRPr="00A316C5">
        <w:rPr>
          <w:rFonts w:ascii="Arial" w:hAnsi="Arial" w:cs="Arial"/>
        </w:rPr>
        <w:t xml:space="preserve"> (</w:t>
      </w:r>
      <w:proofErr w:type="spellStart"/>
      <w:r w:rsidRPr="00A316C5">
        <w:rPr>
          <w:rFonts w:ascii="Arial" w:hAnsi="Arial" w:cs="Arial"/>
        </w:rPr>
        <w:t>Luvox</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Paroxetine</w:t>
      </w:r>
      <w:proofErr w:type="spellEnd"/>
      <w:r w:rsidRPr="00A316C5">
        <w:rPr>
          <w:rFonts w:ascii="Arial" w:hAnsi="Arial" w:cs="Arial"/>
        </w:rPr>
        <w:t xml:space="preserve"> (</w:t>
      </w:r>
      <w:proofErr w:type="spellStart"/>
      <w:r w:rsidRPr="00A316C5">
        <w:rPr>
          <w:rFonts w:ascii="Arial" w:hAnsi="Arial" w:cs="Arial"/>
        </w:rPr>
        <w:t>Aropax</w:t>
      </w:r>
      <w:proofErr w:type="spellEnd"/>
      <w:r w:rsidRPr="00A316C5">
        <w:rPr>
          <w:rFonts w:ascii="Arial" w:hAnsi="Arial" w:cs="Arial"/>
        </w:rPr>
        <w:t>, Paxil)</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Sertraline</w:t>
      </w:r>
      <w:proofErr w:type="spellEnd"/>
      <w:r w:rsidRPr="00A316C5">
        <w:rPr>
          <w:rFonts w:ascii="Arial" w:hAnsi="Arial" w:cs="Arial"/>
        </w:rPr>
        <w:t xml:space="preserve"> (Zoloft)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Citalopram</w:t>
      </w:r>
      <w:proofErr w:type="spellEnd"/>
      <w:r w:rsidRPr="00A316C5">
        <w:rPr>
          <w:rFonts w:ascii="Arial" w:hAnsi="Arial" w:cs="Arial"/>
        </w:rPr>
        <w:t xml:space="preserve"> (</w:t>
      </w:r>
      <w:proofErr w:type="spellStart"/>
      <w:r w:rsidRPr="00A316C5">
        <w:rPr>
          <w:rFonts w:ascii="Arial" w:hAnsi="Arial" w:cs="Arial"/>
        </w:rPr>
        <w:t>Celexa</w:t>
      </w:r>
      <w:proofErr w:type="spellEnd"/>
      <w:r w:rsidRPr="00A316C5">
        <w:rPr>
          <w:rFonts w:ascii="Arial" w:hAnsi="Arial" w:cs="Arial"/>
        </w:rPr>
        <w:t xml:space="preserve">, </w:t>
      </w:r>
      <w:proofErr w:type="spellStart"/>
      <w:r w:rsidRPr="00A316C5">
        <w:rPr>
          <w:rFonts w:ascii="Arial" w:hAnsi="Arial" w:cs="Arial"/>
        </w:rPr>
        <w:t>Cipramil</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Reboxetine</w:t>
      </w:r>
      <w:proofErr w:type="spellEnd"/>
      <w:r w:rsidRPr="00A316C5">
        <w:rPr>
          <w:rFonts w:ascii="Arial" w:hAnsi="Arial" w:cs="Arial"/>
        </w:rPr>
        <w:t xml:space="preserve"> (</w:t>
      </w:r>
      <w:proofErr w:type="spellStart"/>
      <w:r w:rsidRPr="00A316C5">
        <w:rPr>
          <w:rFonts w:ascii="Arial" w:hAnsi="Arial" w:cs="Arial"/>
        </w:rPr>
        <w:t>Edronax</w:t>
      </w:r>
      <w:proofErr w:type="spellEnd"/>
      <w:r w:rsidRPr="00A316C5">
        <w:rPr>
          <w:rFonts w:ascii="Arial" w:hAnsi="Arial" w:cs="Arial"/>
        </w:rPr>
        <w:t xml:space="preserve">. </w:t>
      </w:r>
      <w:proofErr w:type="spellStart"/>
      <w:r w:rsidRPr="00A316C5">
        <w:rPr>
          <w:rFonts w:ascii="Arial" w:hAnsi="Arial" w:cs="Arial"/>
        </w:rPr>
        <w:t>Vestra</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Venlafaxine</w:t>
      </w:r>
      <w:proofErr w:type="spellEnd"/>
      <w:r w:rsidRPr="00A316C5">
        <w:rPr>
          <w:rFonts w:ascii="Arial" w:hAnsi="Arial" w:cs="Arial"/>
        </w:rPr>
        <w:t xml:space="preserve"> (</w:t>
      </w:r>
      <w:proofErr w:type="spellStart"/>
      <w:r w:rsidRPr="00A316C5">
        <w:rPr>
          <w:rFonts w:ascii="Arial" w:hAnsi="Arial" w:cs="Arial"/>
        </w:rPr>
        <w:t>Effexor</w:t>
      </w:r>
      <w:proofErr w:type="spellEnd"/>
      <w:r w:rsidRPr="00A316C5">
        <w:rPr>
          <w:rFonts w:ascii="Arial" w:hAnsi="Arial" w:cs="Arial"/>
        </w:rPr>
        <w:t xml:space="preserve">, </w:t>
      </w:r>
      <w:proofErr w:type="spellStart"/>
      <w:r w:rsidRPr="00A316C5">
        <w:rPr>
          <w:rFonts w:ascii="Arial" w:hAnsi="Arial" w:cs="Arial"/>
        </w:rPr>
        <w:t>Efexor</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Duloxetine</w:t>
      </w:r>
      <w:proofErr w:type="spellEnd"/>
      <w:r w:rsidRPr="00A316C5">
        <w:rPr>
          <w:rFonts w:ascii="Arial" w:hAnsi="Arial" w:cs="Arial"/>
        </w:rPr>
        <w:t xml:space="preserve"> (</w:t>
      </w:r>
      <w:proofErr w:type="spellStart"/>
      <w:r w:rsidRPr="00A316C5">
        <w:rPr>
          <w:rFonts w:ascii="Arial" w:hAnsi="Arial" w:cs="Arial"/>
        </w:rPr>
        <w:t>Cymbalta</w:t>
      </w:r>
      <w:proofErr w:type="spellEnd"/>
      <w:r w:rsidRPr="00A316C5">
        <w:rPr>
          <w:rFonts w:ascii="Arial" w:hAnsi="Arial" w:cs="Arial"/>
        </w:rPr>
        <w:t xml:space="preserve">, </w:t>
      </w:r>
      <w:proofErr w:type="spellStart"/>
      <w:r w:rsidRPr="00A316C5">
        <w:rPr>
          <w:rFonts w:ascii="Arial" w:hAnsi="Arial" w:cs="Arial"/>
        </w:rPr>
        <w:t>Yentreve</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Bupropion</w:t>
      </w:r>
      <w:proofErr w:type="spellEnd"/>
      <w:r w:rsidRPr="00A316C5">
        <w:rPr>
          <w:rFonts w:ascii="Arial" w:hAnsi="Arial" w:cs="Arial"/>
        </w:rPr>
        <w:t xml:space="preserve"> (</w:t>
      </w:r>
      <w:proofErr w:type="spellStart"/>
      <w:r w:rsidRPr="00A316C5">
        <w:rPr>
          <w:rFonts w:ascii="Arial" w:hAnsi="Arial" w:cs="Arial"/>
        </w:rPr>
        <w:t>Aplenzin</w:t>
      </w:r>
      <w:proofErr w:type="spellEnd"/>
      <w:r w:rsidRPr="00A316C5">
        <w:rPr>
          <w:rFonts w:ascii="Arial" w:hAnsi="Arial" w:cs="Arial"/>
        </w:rPr>
        <w:t xml:space="preserve">, </w:t>
      </w:r>
      <w:proofErr w:type="spellStart"/>
      <w:r w:rsidRPr="00A316C5">
        <w:rPr>
          <w:rFonts w:ascii="Arial" w:hAnsi="Arial" w:cs="Arial"/>
        </w:rPr>
        <w:t>Wellbutrin</w:t>
      </w:r>
      <w:proofErr w:type="spellEnd"/>
      <w:r w:rsidRPr="00A316C5">
        <w:rPr>
          <w:rFonts w:ascii="Arial" w:hAnsi="Arial" w:cs="Arial"/>
        </w:rPr>
        <w:t xml:space="preserve">, </w:t>
      </w:r>
      <w:proofErr w:type="spellStart"/>
      <w:r w:rsidRPr="00A316C5">
        <w:rPr>
          <w:rFonts w:ascii="Arial" w:hAnsi="Arial" w:cs="Arial"/>
        </w:rPr>
        <w:t>Wellbutrin</w:t>
      </w:r>
      <w:proofErr w:type="spellEnd"/>
      <w:r w:rsidRPr="00A316C5">
        <w:rPr>
          <w:rFonts w:ascii="Arial" w:hAnsi="Arial" w:cs="Arial"/>
        </w:rPr>
        <w:t xml:space="preserve"> SR, </w:t>
      </w:r>
      <w:proofErr w:type="spellStart"/>
      <w:r w:rsidRPr="00A316C5">
        <w:rPr>
          <w:rFonts w:ascii="Arial" w:hAnsi="Arial" w:cs="Arial"/>
        </w:rPr>
        <w:t>Wellbutrin</w:t>
      </w:r>
      <w:proofErr w:type="spellEnd"/>
      <w:r w:rsidRPr="00A316C5">
        <w:rPr>
          <w:rFonts w:ascii="Arial" w:hAnsi="Arial" w:cs="Arial"/>
        </w:rPr>
        <w:t xml:space="preserve"> XL)</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Mirtazapine</w:t>
      </w:r>
      <w:proofErr w:type="spellEnd"/>
      <w:r w:rsidRPr="00A316C5">
        <w:rPr>
          <w:rFonts w:ascii="Arial" w:hAnsi="Arial" w:cs="Arial"/>
        </w:rPr>
        <w:t xml:space="preserve"> (</w:t>
      </w:r>
      <w:proofErr w:type="spellStart"/>
      <w:r w:rsidRPr="00A316C5">
        <w:rPr>
          <w:rFonts w:ascii="Arial" w:hAnsi="Arial" w:cs="Arial"/>
        </w:rPr>
        <w:t>Remeron</w:t>
      </w:r>
      <w:proofErr w:type="spellEnd"/>
      <w:r w:rsidRPr="00A316C5">
        <w:rPr>
          <w:rFonts w:ascii="Arial" w:hAnsi="Arial" w:cs="Arial"/>
        </w:rPr>
        <w:t xml:space="preserve">, </w:t>
      </w:r>
      <w:proofErr w:type="spellStart"/>
      <w:r w:rsidRPr="00A316C5">
        <w:rPr>
          <w:rFonts w:ascii="Arial" w:hAnsi="Arial" w:cs="Arial"/>
        </w:rPr>
        <w:t>Avanza</w:t>
      </w:r>
      <w:proofErr w:type="spellEnd"/>
      <w:r w:rsidRPr="00A316C5">
        <w:rPr>
          <w:rFonts w:ascii="Arial" w:hAnsi="Arial" w:cs="Arial"/>
        </w:rPr>
        <w:t xml:space="preserve">, </w:t>
      </w:r>
      <w:proofErr w:type="spellStart"/>
      <w:r w:rsidRPr="00A316C5">
        <w:rPr>
          <w:rFonts w:ascii="Arial" w:hAnsi="Arial" w:cs="Arial"/>
        </w:rPr>
        <w:t>Zispin</w:t>
      </w:r>
      <w:proofErr w:type="spellEnd"/>
      <w:r w:rsidRPr="00A316C5">
        <w:rPr>
          <w:rFonts w:ascii="Arial" w:hAnsi="Arial" w:cs="Arial"/>
        </w:rPr>
        <w:t>, Reflex)</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Fluphenazine</w:t>
      </w:r>
      <w:proofErr w:type="spellEnd"/>
      <w:r w:rsidRPr="00A316C5">
        <w:rPr>
          <w:rFonts w:ascii="Arial" w:hAnsi="Arial" w:cs="Arial"/>
        </w:rPr>
        <w:t xml:space="preserve"> (</w:t>
      </w:r>
      <w:proofErr w:type="spellStart"/>
      <w:r w:rsidRPr="00A316C5">
        <w:rPr>
          <w:rFonts w:ascii="Arial" w:hAnsi="Arial" w:cs="Arial"/>
        </w:rPr>
        <w:t>Prolixin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Pimozide</w:t>
      </w:r>
      <w:proofErr w:type="spellEnd"/>
      <w:r w:rsidRPr="00A316C5">
        <w:rPr>
          <w:rFonts w:ascii="Arial" w:hAnsi="Arial" w:cs="Arial"/>
        </w:rPr>
        <w:t xml:space="preserve"> (</w:t>
      </w:r>
      <w:proofErr w:type="spellStart"/>
      <w:r w:rsidRPr="00A316C5">
        <w:rPr>
          <w:rFonts w:ascii="Arial" w:hAnsi="Arial" w:cs="Arial"/>
        </w:rPr>
        <w:t>Orap</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r w:rsidRPr="00A316C5">
        <w:rPr>
          <w:rFonts w:ascii="Arial" w:hAnsi="Arial" w:cs="Arial"/>
        </w:rPr>
        <w:t>Haloperidol (</w:t>
      </w:r>
      <w:proofErr w:type="spellStart"/>
      <w:r w:rsidRPr="00A316C5">
        <w:rPr>
          <w:rFonts w:ascii="Arial" w:hAnsi="Arial" w:cs="Arial"/>
        </w:rPr>
        <w:t>Haldol</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Olanzapine</w:t>
      </w:r>
      <w:proofErr w:type="spellEnd"/>
      <w:r w:rsidRPr="00A316C5">
        <w:rPr>
          <w:rFonts w:ascii="Arial" w:hAnsi="Arial" w:cs="Arial"/>
        </w:rPr>
        <w:t xml:space="preserve"> (</w:t>
      </w:r>
      <w:proofErr w:type="spellStart"/>
      <w:r w:rsidRPr="00A316C5">
        <w:rPr>
          <w:rFonts w:ascii="Arial" w:hAnsi="Arial" w:cs="Arial"/>
        </w:rPr>
        <w:t>Zyprexa</w:t>
      </w:r>
      <w:proofErr w:type="spellEnd"/>
      <w:r w:rsidRPr="00A316C5">
        <w:rPr>
          <w:rFonts w:ascii="Arial" w:hAnsi="Arial" w:cs="Arial"/>
        </w:rPr>
        <w:t xml:space="preserve">, </w:t>
      </w:r>
      <w:proofErr w:type="spellStart"/>
      <w:r w:rsidRPr="00A316C5">
        <w:rPr>
          <w:rFonts w:ascii="Arial" w:hAnsi="Arial" w:cs="Arial"/>
        </w:rPr>
        <w:t>Zalasta</w:t>
      </w:r>
      <w:proofErr w:type="spellEnd"/>
      <w:r w:rsidRPr="00A316C5">
        <w:rPr>
          <w:rFonts w:ascii="Arial" w:hAnsi="Arial" w:cs="Arial"/>
        </w:rPr>
        <w:t xml:space="preserve">, </w:t>
      </w:r>
      <w:proofErr w:type="spellStart"/>
      <w:r w:rsidRPr="00A316C5">
        <w:rPr>
          <w:rFonts w:ascii="Arial" w:hAnsi="Arial" w:cs="Arial"/>
        </w:rPr>
        <w:t>Zolafren</w:t>
      </w:r>
      <w:proofErr w:type="spellEnd"/>
      <w:r w:rsidRPr="00A316C5">
        <w:rPr>
          <w:rFonts w:ascii="Arial" w:hAnsi="Arial" w:cs="Arial"/>
        </w:rPr>
        <w:t xml:space="preserve">, </w:t>
      </w:r>
      <w:proofErr w:type="spellStart"/>
      <w:r w:rsidRPr="00A316C5">
        <w:rPr>
          <w:rFonts w:ascii="Arial" w:hAnsi="Arial" w:cs="Arial"/>
        </w:rPr>
        <w:t>Olzapin</w:t>
      </w:r>
      <w:proofErr w:type="spellEnd"/>
      <w:r w:rsidRPr="00A316C5">
        <w:rPr>
          <w:rFonts w:ascii="Arial" w:hAnsi="Arial" w:cs="Arial"/>
        </w:rPr>
        <w:t xml:space="preserve">, </w:t>
      </w:r>
      <w:proofErr w:type="spellStart"/>
      <w:r w:rsidRPr="00A316C5">
        <w:rPr>
          <w:rFonts w:ascii="Arial" w:hAnsi="Arial" w:cs="Arial"/>
        </w:rPr>
        <w:t>Oferta</w:t>
      </w:r>
      <w:proofErr w:type="spellEnd"/>
      <w:r w:rsidRPr="00A316C5">
        <w:rPr>
          <w:rFonts w:ascii="Arial" w:hAnsi="Arial" w:cs="Arial"/>
        </w:rPr>
        <w:t xml:space="preserve">, </w:t>
      </w:r>
      <w:proofErr w:type="spellStart"/>
      <w:r w:rsidRPr="00A316C5">
        <w:rPr>
          <w:rFonts w:ascii="Arial" w:hAnsi="Arial" w:cs="Arial"/>
        </w:rPr>
        <w:t>Zypadhera</w:t>
      </w:r>
      <w:proofErr w:type="spellEnd"/>
      <w:r w:rsidRPr="00A316C5">
        <w:rPr>
          <w:rFonts w:ascii="Arial" w:hAnsi="Arial" w:cs="Arial"/>
        </w:rPr>
        <w:t xml:space="preserve"> or in combination with </w:t>
      </w:r>
      <w:proofErr w:type="spellStart"/>
      <w:r w:rsidRPr="00A316C5">
        <w:rPr>
          <w:rFonts w:ascii="Arial" w:hAnsi="Arial" w:cs="Arial"/>
        </w:rPr>
        <w:t>fluoxetine</w:t>
      </w:r>
      <w:proofErr w:type="spellEnd"/>
      <w:r w:rsidRPr="00A316C5">
        <w:rPr>
          <w:rFonts w:ascii="Arial" w:hAnsi="Arial" w:cs="Arial"/>
        </w:rPr>
        <w:t xml:space="preserve"> </w:t>
      </w:r>
      <w:proofErr w:type="spellStart"/>
      <w:r w:rsidRPr="00A316C5">
        <w:rPr>
          <w:rFonts w:ascii="Arial" w:hAnsi="Arial" w:cs="Arial"/>
        </w:rPr>
        <w:t>Symbyax</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Quetiapine</w:t>
      </w:r>
      <w:proofErr w:type="spellEnd"/>
      <w:r w:rsidRPr="00A316C5">
        <w:rPr>
          <w:rFonts w:ascii="Arial" w:hAnsi="Arial" w:cs="Arial"/>
        </w:rPr>
        <w:t xml:space="preserve"> (</w:t>
      </w:r>
      <w:proofErr w:type="spellStart"/>
      <w:r w:rsidRPr="00A316C5">
        <w:rPr>
          <w:rFonts w:ascii="Arial" w:hAnsi="Arial" w:cs="Arial"/>
        </w:rPr>
        <w:t>Seroquel</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Aripiprazole</w:t>
      </w:r>
      <w:proofErr w:type="spellEnd"/>
      <w:r w:rsidRPr="00A316C5">
        <w:rPr>
          <w:rFonts w:ascii="Arial" w:hAnsi="Arial" w:cs="Arial"/>
        </w:rPr>
        <w:t xml:space="preserve"> (</w:t>
      </w:r>
      <w:proofErr w:type="spellStart"/>
      <w:r w:rsidRPr="00A316C5">
        <w:rPr>
          <w:rFonts w:ascii="Arial" w:hAnsi="Arial" w:cs="Arial"/>
        </w:rPr>
        <w:t>Abilify</w:t>
      </w:r>
      <w:proofErr w:type="spellEnd"/>
      <w:r w:rsidRPr="00A316C5">
        <w:rPr>
          <w:rFonts w:ascii="Arial" w:hAnsi="Arial" w:cs="Arial"/>
        </w:rPr>
        <w:t xml:space="preserve">, </w:t>
      </w:r>
      <w:proofErr w:type="spellStart"/>
      <w:r w:rsidRPr="00A316C5">
        <w:rPr>
          <w:rFonts w:ascii="Arial" w:hAnsi="Arial" w:cs="Arial"/>
        </w:rPr>
        <w:t>Abilify</w:t>
      </w:r>
      <w:proofErr w:type="spellEnd"/>
      <w:r w:rsidRPr="00A316C5">
        <w:rPr>
          <w:rFonts w:ascii="Arial" w:hAnsi="Arial" w:cs="Arial"/>
        </w:rPr>
        <w:t xml:space="preserve"> </w:t>
      </w:r>
      <w:proofErr w:type="spellStart"/>
      <w:r w:rsidRPr="00A316C5">
        <w:rPr>
          <w:rFonts w:ascii="Arial" w:hAnsi="Arial" w:cs="Arial"/>
        </w:rPr>
        <w:t>Discmelt</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Ziprasidone</w:t>
      </w:r>
      <w:proofErr w:type="spellEnd"/>
      <w:r w:rsidRPr="00A316C5">
        <w:rPr>
          <w:rFonts w:ascii="Arial" w:hAnsi="Arial" w:cs="Arial"/>
        </w:rPr>
        <w:t xml:space="preserve"> (</w:t>
      </w:r>
      <w:proofErr w:type="spellStart"/>
      <w:r w:rsidRPr="00A316C5">
        <w:rPr>
          <w:rFonts w:ascii="Arial" w:hAnsi="Arial" w:cs="Arial"/>
        </w:rPr>
        <w:t>Geodon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Risperidone</w:t>
      </w:r>
      <w:proofErr w:type="spellEnd"/>
      <w:r w:rsidRPr="00A316C5">
        <w:rPr>
          <w:rFonts w:ascii="Arial" w:hAnsi="Arial" w:cs="Arial"/>
        </w:rPr>
        <w:t xml:space="preserve"> (</w:t>
      </w:r>
      <w:proofErr w:type="spellStart"/>
      <w:r w:rsidRPr="00A316C5">
        <w:rPr>
          <w:rFonts w:ascii="Arial" w:hAnsi="Arial" w:cs="Arial"/>
        </w:rPr>
        <w:t>Risperdal</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Chloroquine</w:t>
      </w:r>
      <w:proofErr w:type="spellEnd"/>
      <w:r w:rsidRPr="00A316C5">
        <w:rPr>
          <w:rFonts w:ascii="Arial" w:hAnsi="Arial" w:cs="Arial"/>
        </w:rPr>
        <w:t xml:space="preserve"> (</w:t>
      </w:r>
      <w:proofErr w:type="spellStart"/>
      <w:r w:rsidRPr="00A316C5">
        <w:rPr>
          <w:rFonts w:ascii="Arial" w:hAnsi="Arial" w:cs="Arial"/>
        </w:rPr>
        <w:t>Aralen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Mefloquine</w:t>
      </w:r>
      <w:proofErr w:type="spellEnd"/>
      <w:r w:rsidRPr="00A316C5">
        <w:rPr>
          <w:rFonts w:ascii="Arial" w:hAnsi="Arial" w:cs="Arial"/>
        </w:rPr>
        <w:t xml:space="preserve"> (</w:t>
      </w:r>
      <w:proofErr w:type="spellStart"/>
      <w:r w:rsidRPr="00A316C5">
        <w:rPr>
          <w:rFonts w:ascii="Arial" w:hAnsi="Arial" w:cs="Arial"/>
        </w:rPr>
        <w:t>Lariam</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Imipenem</w:t>
      </w:r>
      <w:proofErr w:type="spellEnd"/>
      <w:r w:rsidRPr="00A316C5">
        <w:rPr>
          <w:rFonts w:ascii="Arial" w:hAnsi="Arial" w:cs="Arial"/>
        </w:rPr>
        <w:t xml:space="preserve"> (</w:t>
      </w:r>
      <w:proofErr w:type="spellStart"/>
      <w:r w:rsidRPr="00A316C5">
        <w:rPr>
          <w:rFonts w:ascii="Arial" w:hAnsi="Arial" w:cs="Arial"/>
        </w:rPr>
        <w:t>Primaxin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r w:rsidRPr="00A316C5">
        <w:rPr>
          <w:rFonts w:ascii="Arial" w:hAnsi="Arial" w:cs="Arial"/>
        </w:rPr>
        <w:t>penicillin</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ampicillin</w:t>
      </w:r>
      <w:proofErr w:type="spellEnd"/>
      <w:r w:rsidRPr="00A316C5">
        <w:rPr>
          <w:rFonts w:ascii="Arial" w:hAnsi="Arial" w:cs="Arial"/>
        </w:rPr>
        <w:t xml:space="preserve"> (</w:t>
      </w:r>
      <w:proofErr w:type="spellStart"/>
      <w:r w:rsidRPr="00A316C5">
        <w:rPr>
          <w:rFonts w:ascii="Arial" w:hAnsi="Arial" w:cs="Arial"/>
        </w:rPr>
        <w:t>Omnipen</w:t>
      </w:r>
      <w:proofErr w:type="spellEnd"/>
      <w:r w:rsidRPr="00A316C5">
        <w:rPr>
          <w:rFonts w:ascii="Arial" w:hAnsi="Arial" w:cs="Arial"/>
        </w:rPr>
        <w:t xml:space="preserve">, </w:t>
      </w:r>
      <w:proofErr w:type="spellStart"/>
      <w:r w:rsidRPr="00A316C5">
        <w:rPr>
          <w:rFonts w:ascii="Arial" w:hAnsi="Arial" w:cs="Arial"/>
        </w:rPr>
        <w:t>Polycillin</w:t>
      </w:r>
      <w:proofErr w:type="spellEnd"/>
      <w:r w:rsidRPr="00A316C5">
        <w:rPr>
          <w:rFonts w:ascii="Arial" w:hAnsi="Arial" w:cs="Arial"/>
        </w:rPr>
        <w:t xml:space="preserve">, </w:t>
      </w:r>
      <w:proofErr w:type="spellStart"/>
      <w:r w:rsidRPr="00A316C5">
        <w:rPr>
          <w:rFonts w:ascii="Arial" w:hAnsi="Arial" w:cs="Arial"/>
        </w:rPr>
        <w:t>Principen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cephalosporins</w:t>
      </w:r>
      <w:proofErr w:type="spellEnd"/>
      <w:r w:rsidRPr="00A316C5">
        <w:rPr>
          <w:rFonts w:ascii="Arial" w:hAnsi="Arial" w:cs="Arial"/>
        </w:rPr>
        <w:t xml:space="preserve"> (</w:t>
      </w:r>
      <w:proofErr w:type="spellStart"/>
      <w:r w:rsidRPr="00A316C5">
        <w:rPr>
          <w:rFonts w:ascii="Arial" w:hAnsi="Arial" w:cs="Arial"/>
        </w:rPr>
        <w:t>Cephalosporium</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metronidazole</w:t>
      </w:r>
      <w:proofErr w:type="spellEnd"/>
      <w:r w:rsidRPr="00A316C5">
        <w:rPr>
          <w:rFonts w:ascii="Arial" w:hAnsi="Arial" w:cs="Arial"/>
        </w:rPr>
        <w:t xml:space="preserve"> (</w:t>
      </w:r>
      <w:proofErr w:type="spellStart"/>
      <w:r w:rsidRPr="00A316C5">
        <w:rPr>
          <w:rFonts w:ascii="Arial" w:hAnsi="Arial" w:cs="Arial"/>
        </w:rPr>
        <w:t>Flagyl</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isoniazid</w:t>
      </w:r>
      <w:proofErr w:type="spellEnd"/>
      <w:r w:rsidRPr="00A316C5">
        <w:rPr>
          <w:rFonts w:ascii="Arial" w:hAnsi="Arial" w:cs="Arial"/>
        </w:rPr>
        <w:t xml:space="preserve"> (</w:t>
      </w:r>
      <w:proofErr w:type="spellStart"/>
      <w:r w:rsidRPr="00A316C5">
        <w:rPr>
          <w:rFonts w:ascii="Arial" w:hAnsi="Arial" w:cs="Arial"/>
        </w:rPr>
        <w:t>Laniazid</w:t>
      </w:r>
      <w:proofErr w:type="spellEnd"/>
      <w:r w:rsidRPr="00A316C5">
        <w:rPr>
          <w:rFonts w:ascii="Arial" w:hAnsi="Arial" w:cs="Arial"/>
        </w:rPr>
        <w:t xml:space="preserve">, </w:t>
      </w:r>
      <w:proofErr w:type="spellStart"/>
      <w:r w:rsidRPr="00A316C5">
        <w:rPr>
          <w:rFonts w:ascii="Arial" w:hAnsi="Arial" w:cs="Arial"/>
        </w:rPr>
        <w:t>Nydrazid</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levofloxacin</w:t>
      </w:r>
      <w:proofErr w:type="spellEnd"/>
      <w:r w:rsidRPr="00A316C5">
        <w:rPr>
          <w:rFonts w:ascii="Arial" w:hAnsi="Arial" w:cs="Arial"/>
        </w:rPr>
        <w:t xml:space="preserve"> (</w:t>
      </w:r>
      <w:proofErr w:type="spellStart"/>
      <w:r w:rsidRPr="00A316C5">
        <w:rPr>
          <w:rFonts w:ascii="Arial" w:hAnsi="Arial" w:cs="Arial"/>
        </w:rPr>
        <w:t>Levaquin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r w:rsidRPr="00A316C5">
        <w:rPr>
          <w:rFonts w:ascii="Arial" w:hAnsi="Arial" w:cs="Arial"/>
        </w:rPr>
        <w:t>cyclosporine (USAN, BAN)</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chlorambucil</w:t>
      </w:r>
      <w:proofErr w:type="spellEnd"/>
      <w:r w:rsidRPr="00A316C5">
        <w:rPr>
          <w:rFonts w:ascii="Arial" w:hAnsi="Arial" w:cs="Arial"/>
        </w:rPr>
        <w:t xml:space="preserve"> (</w:t>
      </w:r>
      <w:proofErr w:type="spellStart"/>
      <w:r w:rsidRPr="00A316C5">
        <w:rPr>
          <w:rFonts w:ascii="Arial" w:hAnsi="Arial" w:cs="Arial"/>
        </w:rPr>
        <w:t>Leukeran</w:t>
      </w:r>
      <w:proofErr w:type="spellEnd"/>
      <w:r w:rsidRPr="00A316C5">
        <w:rPr>
          <w:rFonts w:ascii="Arial" w:hAnsi="Arial" w:cs="Arial"/>
        </w:rPr>
        <w:t xml:space="preserve"> by GlaxoSmithKline)</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vincristine</w:t>
      </w:r>
      <w:proofErr w:type="spellEnd"/>
      <w:r w:rsidRPr="00A316C5">
        <w:rPr>
          <w:rFonts w:ascii="Arial" w:hAnsi="Arial" w:cs="Arial"/>
        </w:rPr>
        <w:t xml:space="preserve">  (</w:t>
      </w:r>
      <w:proofErr w:type="spellStart"/>
      <w:r w:rsidRPr="00A316C5">
        <w:rPr>
          <w:rFonts w:ascii="Arial" w:hAnsi="Arial" w:cs="Arial"/>
        </w:rPr>
        <w:t>Oncovin</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methotrexate</w:t>
      </w:r>
      <w:proofErr w:type="spellEnd"/>
      <w:r w:rsidRPr="00A316C5">
        <w:rPr>
          <w:rFonts w:ascii="Arial" w:hAnsi="Arial" w:cs="Arial"/>
        </w:rPr>
        <w:t xml:space="preserve"> (</w:t>
      </w:r>
      <w:proofErr w:type="spellStart"/>
      <w:r w:rsidRPr="00A316C5">
        <w:rPr>
          <w:rFonts w:ascii="Arial" w:hAnsi="Arial" w:cs="Arial"/>
        </w:rPr>
        <w:t>Trexall</w:t>
      </w:r>
      <w:proofErr w:type="spellEnd"/>
      <w:r w:rsidRPr="00A316C5">
        <w:rPr>
          <w:rFonts w:ascii="Arial" w:hAnsi="Arial" w:cs="Arial"/>
        </w:rPr>
        <w:t xml:space="preserve">, </w:t>
      </w:r>
      <w:proofErr w:type="spellStart"/>
      <w:r w:rsidRPr="00A316C5">
        <w:rPr>
          <w:rFonts w:ascii="Arial" w:hAnsi="Arial" w:cs="Arial"/>
        </w:rPr>
        <w:t>Rheumatrex</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r w:rsidRPr="00A316C5">
        <w:rPr>
          <w:rFonts w:ascii="Arial" w:hAnsi="Arial" w:cs="Arial"/>
        </w:rPr>
        <w:t xml:space="preserve">cytosine </w:t>
      </w:r>
      <w:proofErr w:type="spellStart"/>
      <w:r w:rsidRPr="00A316C5">
        <w:rPr>
          <w:rFonts w:ascii="Arial" w:hAnsi="Arial" w:cs="Arial"/>
        </w:rPr>
        <w:t>arabinoside</w:t>
      </w:r>
      <w:proofErr w:type="spellEnd"/>
      <w:r w:rsidRPr="00A316C5">
        <w:rPr>
          <w:rFonts w:ascii="Arial" w:hAnsi="Arial" w:cs="Arial"/>
        </w:rPr>
        <w:t xml:space="preserve"> (</w:t>
      </w:r>
      <w:proofErr w:type="spellStart"/>
      <w:r w:rsidRPr="00A316C5">
        <w:rPr>
          <w:rFonts w:ascii="Arial" w:hAnsi="Arial" w:cs="Arial"/>
        </w:rPr>
        <w:t>Cytarabine</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r w:rsidRPr="00A316C5">
        <w:rPr>
          <w:rFonts w:ascii="Arial" w:hAnsi="Arial" w:cs="Arial"/>
        </w:rPr>
        <w:t>BCNU (</w:t>
      </w:r>
      <w:proofErr w:type="spellStart"/>
      <w:r w:rsidRPr="00A316C5">
        <w:rPr>
          <w:rFonts w:ascii="Arial" w:hAnsi="Arial" w:cs="Arial"/>
        </w:rPr>
        <w:t>Carmustine</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eastAsia="Times New Roman" w:hAnsi="Arial" w:cs="Arial"/>
        </w:rPr>
      </w:pPr>
      <w:r w:rsidRPr="00A316C5">
        <w:rPr>
          <w:rFonts w:ascii="Arial" w:hAnsi="Arial" w:cs="Arial"/>
        </w:rPr>
        <w:t>Lithium (</w:t>
      </w:r>
      <w:proofErr w:type="spellStart"/>
      <w:r w:rsidRPr="00A316C5">
        <w:rPr>
          <w:rFonts w:ascii="Arial" w:hAnsi="Arial" w:cs="Arial"/>
        </w:rPr>
        <w:t>Eskalith</w:t>
      </w:r>
      <w:proofErr w:type="spellEnd"/>
      <w:r w:rsidRPr="00A316C5">
        <w:rPr>
          <w:rFonts w:ascii="Arial" w:hAnsi="Arial" w:cs="Arial"/>
        </w:rPr>
        <w:t xml:space="preserve"> CR, </w:t>
      </w:r>
      <w:proofErr w:type="spellStart"/>
      <w:r w:rsidRPr="00A316C5">
        <w:rPr>
          <w:rFonts w:ascii="Arial" w:hAnsi="Arial" w:cs="Arial"/>
        </w:rPr>
        <w:t>Eskalith</w:t>
      </w:r>
      <w:proofErr w:type="spellEnd"/>
      <w:r w:rsidRPr="00A316C5">
        <w:rPr>
          <w:rFonts w:ascii="Arial" w:hAnsi="Arial" w:cs="Arial"/>
        </w:rPr>
        <w:t xml:space="preserve">, </w:t>
      </w:r>
      <w:proofErr w:type="spellStart"/>
      <w:r w:rsidRPr="00A316C5">
        <w:rPr>
          <w:rFonts w:ascii="Arial" w:hAnsi="Arial" w:cs="Arial"/>
        </w:rPr>
        <w:t>L</w:t>
      </w:r>
      <w:r w:rsidRPr="00A316C5">
        <w:rPr>
          <w:rFonts w:ascii="Arial" w:eastAsia="Times New Roman" w:hAnsi="Arial" w:cs="Arial"/>
        </w:rPr>
        <w:t>ithobid</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proofErr w:type="spellStart"/>
      <w:r w:rsidRPr="00A316C5">
        <w:rPr>
          <w:rFonts w:ascii="Arial" w:hAnsi="Arial" w:cs="Arial"/>
        </w:rPr>
        <w:t>Anticholinergics</w:t>
      </w:r>
      <w:proofErr w:type="spellEnd"/>
      <w:r w:rsidRPr="00A316C5">
        <w:rPr>
          <w:rFonts w:ascii="Arial" w:hAnsi="Arial" w:cs="Arial"/>
        </w:rPr>
        <w:t xml:space="preserve"> (</w:t>
      </w:r>
      <w:proofErr w:type="spellStart"/>
      <w:r w:rsidRPr="00A316C5">
        <w:rPr>
          <w:rFonts w:ascii="Arial" w:hAnsi="Arial" w:cs="Arial"/>
        </w:rPr>
        <w:t>ipratropium</w:t>
      </w:r>
      <w:proofErr w:type="spellEnd"/>
      <w:r w:rsidRPr="00A316C5">
        <w:rPr>
          <w:rFonts w:ascii="Arial" w:hAnsi="Arial" w:cs="Arial"/>
        </w:rPr>
        <w:t xml:space="preserve">, </w:t>
      </w:r>
      <w:proofErr w:type="spellStart"/>
      <w:r w:rsidRPr="00A316C5">
        <w:rPr>
          <w:rFonts w:ascii="Arial" w:hAnsi="Arial" w:cs="Arial"/>
        </w:rPr>
        <w:t>Atrovent</w:t>
      </w:r>
      <w:proofErr w:type="spellEnd"/>
      <w:r w:rsidRPr="00A316C5">
        <w:rPr>
          <w:rFonts w:ascii="Arial" w:hAnsi="Arial" w:cs="Arial"/>
        </w:rPr>
        <w:t xml:space="preserve">, </w:t>
      </w:r>
      <w:proofErr w:type="spellStart"/>
      <w:r w:rsidRPr="00A316C5">
        <w:rPr>
          <w:rFonts w:ascii="Arial" w:hAnsi="Arial" w:cs="Arial"/>
        </w:rPr>
        <w:t>ipratropium</w:t>
      </w:r>
      <w:proofErr w:type="spellEnd"/>
      <w:r w:rsidRPr="00A316C5">
        <w:rPr>
          <w:rFonts w:ascii="Arial" w:hAnsi="Arial" w:cs="Arial"/>
        </w:rPr>
        <w:t xml:space="preserve">, </w:t>
      </w:r>
      <w:proofErr w:type="spellStart"/>
      <w:r w:rsidRPr="00A316C5">
        <w:rPr>
          <w:rFonts w:ascii="Arial" w:hAnsi="Arial" w:cs="Arial"/>
        </w:rPr>
        <w:t>albuterol</w:t>
      </w:r>
      <w:proofErr w:type="spellEnd"/>
      <w:r w:rsidRPr="00A316C5">
        <w:rPr>
          <w:rFonts w:ascii="Arial" w:hAnsi="Arial" w:cs="Arial"/>
        </w:rPr>
        <w:t xml:space="preserve">, </w:t>
      </w:r>
      <w:proofErr w:type="spellStart"/>
      <w:r w:rsidRPr="00A316C5">
        <w:rPr>
          <w:rFonts w:ascii="Arial" w:hAnsi="Arial" w:cs="Arial"/>
        </w:rPr>
        <w:t>Combivent</w:t>
      </w:r>
      <w:proofErr w:type="spellEnd"/>
      <w:r w:rsidRPr="00A316C5">
        <w:rPr>
          <w:rFonts w:ascii="Arial" w:hAnsi="Arial" w:cs="Arial"/>
        </w:rPr>
        <w:t xml:space="preserve">, </w:t>
      </w:r>
      <w:proofErr w:type="spellStart"/>
      <w:r w:rsidRPr="00A316C5">
        <w:rPr>
          <w:rFonts w:ascii="Arial" w:hAnsi="Arial" w:cs="Arial"/>
        </w:rPr>
        <w:t>DuoNeb</w:t>
      </w:r>
      <w:proofErr w:type="spellEnd"/>
      <w:r w:rsidRPr="00A316C5">
        <w:rPr>
          <w:rFonts w:ascii="Arial" w:hAnsi="Arial" w:cs="Arial"/>
        </w:rPr>
        <w:t>)</w:t>
      </w:r>
    </w:p>
    <w:p w:rsidR="008D22CC" w:rsidRPr="00A316C5" w:rsidRDefault="008D22CC" w:rsidP="008D22CC">
      <w:pPr>
        <w:pStyle w:val="ListParagraph"/>
        <w:numPr>
          <w:ilvl w:val="0"/>
          <w:numId w:val="1"/>
        </w:numPr>
        <w:autoSpaceDE w:val="0"/>
        <w:autoSpaceDN w:val="0"/>
        <w:adjustRightInd w:val="0"/>
        <w:spacing w:after="0" w:line="240" w:lineRule="auto"/>
        <w:rPr>
          <w:rFonts w:ascii="Arial" w:hAnsi="Arial" w:cs="Arial"/>
        </w:rPr>
      </w:pPr>
      <w:r w:rsidRPr="00A316C5">
        <w:rPr>
          <w:rFonts w:ascii="Arial" w:hAnsi="Arial" w:cs="Arial"/>
        </w:rPr>
        <w:t>Antihistamines (</w:t>
      </w:r>
      <w:r w:rsidRPr="00A316C5">
        <w:rPr>
          <w:rFonts w:ascii="Arial" w:hAnsi="Arial" w:cs="Arial"/>
          <w:bCs/>
        </w:rPr>
        <w:t xml:space="preserve">Allegra, </w:t>
      </w:r>
      <w:proofErr w:type="spellStart"/>
      <w:r w:rsidRPr="00A316C5">
        <w:rPr>
          <w:rFonts w:ascii="Arial" w:hAnsi="Arial" w:cs="Arial"/>
          <w:bCs/>
        </w:rPr>
        <w:t>AllegraD</w:t>
      </w:r>
      <w:proofErr w:type="spellEnd"/>
      <w:r w:rsidRPr="00A316C5">
        <w:rPr>
          <w:rFonts w:ascii="Arial" w:hAnsi="Arial" w:cs="Arial"/>
          <w:bCs/>
        </w:rPr>
        <w:t xml:space="preserve">, </w:t>
      </w:r>
      <w:proofErr w:type="spellStart"/>
      <w:r w:rsidRPr="00A316C5">
        <w:rPr>
          <w:rFonts w:ascii="Arial" w:hAnsi="Arial" w:cs="Arial"/>
          <w:bCs/>
        </w:rPr>
        <w:t>Astelin</w:t>
      </w:r>
      <w:proofErr w:type="spellEnd"/>
      <w:r w:rsidRPr="00A316C5">
        <w:rPr>
          <w:rFonts w:ascii="Arial" w:hAnsi="Arial" w:cs="Arial"/>
          <w:bCs/>
        </w:rPr>
        <w:t xml:space="preserve">, </w:t>
      </w:r>
      <w:proofErr w:type="spellStart"/>
      <w:r w:rsidRPr="00A316C5">
        <w:rPr>
          <w:rFonts w:ascii="Arial" w:hAnsi="Arial" w:cs="Arial"/>
          <w:bCs/>
        </w:rPr>
        <w:t>Clarinex</w:t>
      </w:r>
      <w:proofErr w:type="spellEnd"/>
      <w:r w:rsidRPr="00A316C5">
        <w:rPr>
          <w:rFonts w:ascii="Arial" w:hAnsi="Arial" w:cs="Arial"/>
          <w:bCs/>
        </w:rPr>
        <w:t>, Claritin)</w:t>
      </w:r>
    </w:p>
    <w:p w:rsidR="008D22CC" w:rsidRPr="00A316C5" w:rsidRDefault="008D22CC" w:rsidP="008D22CC">
      <w:pPr>
        <w:pStyle w:val="ListParagraph"/>
        <w:numPr>
          <w:ilvl w:val="0"/>
          <w:numId w:val="1"/>
        </w:numPr>
        <w:autoSpaceDE w:val="0"/>
        <w:autoSpaceDN w:val="0"/>
        <w:adjustRightInd w:val="0"/>
        <w:spacing w:after="0" w:line="240" w:lineRule="auto"/>
        <w:rPr>
          <w:rFonts w:ascii="Arial" w:eastAsia="Times New Roman" w:hAnsi="Arial" w:cs="Arial"/>
        </w:rPr>
      </w:pPr>
      <w:proofErr w:type="spellStart"/>
      <w:r w:rsidRPr="00A316C5">
        <w:rPr>
          <w:rFonts w:ascii="Arial" w:hAnsi="Arial" w:cs="Arial"/>
        </w:rPr>
        <w:t>Sympathomimetics</w:t>
      </w:r>
      <w:proofErr w:type="spellEnd"/>
      <w:r w:rsidRPr="00A316C5">
        <w:rPr>
          <w:rFonts w:ascii="Arial" w:hAnsi="Arial" w:cs="Arial"/>
        </w:rPr>
        <w:t xml:space="preserve">  (</w:t>
      </w:r>
      <w:hyperlink r:id="rId5" w:tooltip="Ephedrine" w:history="1">
        <w:r w:rsidRPr="00A316C5">
          <w:rPr>
            <w:rFonts w:ascii="Arial" w:eastAsia="Times New Roman" w:hAnsi="Arial" w:cs="Arial"/>
          </w:rPr>
          <w:t>ephedrine</w:t>
        </w:r>
      </w:hyperlink>
      <w:r w:rsidRPr="00A316C5">
        <w:rPr>
          <w:rFonts w:ascii="Arial" w:eastAsia="Times New Roman" w:hAnsi="Arial" w:cs="Arial"/>
        </w:rPr>
        <w:t xml:space="preserve">, </w:t>
      </w:r>
      <w:hyperlink r:id="rId6" w:tooltip="Pseudoephedrine" w:history="1">
        <w:r w:rsidRPr="00A316C5">
          <w:rPr>
            <w:rFonts w:ascii="Arial" w:eastAsia="Times New Roman" w:hAnsi="Arial" w:cs="Arial"/>
          </w:rPr>
          <w:t>pseudoephedrine</w:t>
        </w:r>
      </w:hyperlink>
      <w:r w:rsidRPr="00A316C5">
        <w:rPr>
          <w:rFonts w:ascii="Arial" w:eastAsia="Times New Roman" w:hAnsi="Arial" w:cs="Arial"/>
        </w:rPr>
        <w:t xml:space="preserve">, </w:t>
      </w:r>
      <w:hyperlink r:id="rId7" w:tooltip="Amphetamine" w:history="1">
        <w:r w:rsidRPr="00A316C5">
          <w:rPr>
            <w:rFonts w:ascii="Arial" w:eastAsia="Times New Roman" w:hAnsi="Arial" w:cs="Arial"/>
          </w:rPr>
          <w:t>amphetamine</w:t>
        </w:r>
      </w:hyperlink>
      <w:r w:rsidRPr="00A316C5">
        <w:rPr>
          <w:rFonts w:ascii="Arial" w:eastAsia="Times New Roman" w:hAnsi="Arial" w:cs="Arial"/>
        </w:rPr>
        <w:t xml:space="preserve">, </w:t>
      </w:r>
      <w:hyperlink r:id="rId8" w:tooltip="Methamphetamine" w:history="1">
        <w:r w:rsidRPr="00A316C5">
          <w:rPr>
            <w:rFonts w:ascii="Arial" w:eastAsia="Times New Roman" w:hAnsi="Arial" w:cs="Arial"/>
          </w:rPr>
          <w:t>methamphetamine</w:t>
        </w:r>
      </w:hyperlink>
      <w:r w:rsidRPr="00A316C5">
        <w:rPr>
          <w:rFonts w:ascii="Arial" w:eastAsia="Times New Roman" w:hAnsi="Arial" w:cs="Arial"/>
        </w:rPr>
        <w:t xml:space="preserve">, </w:t>
      </w:r>
      <w:hyperlink r:id="rId9" w:tooltip="Methylphenidate" w:history="1">
        <w:r w:rsidRPr="00A316C5">
          <w:rPr>
            <w:rFonts w:ascii="Arial" w:eastAsia="Times New Roman" w:hAnsi="Arial" w:cs="Arial"/>
          </w:rPr>
          <w:t>methylphenidate</w:t>
        </w:r>
      </w:hyperlink>
      <w:r w:rsidRPr="00A316C5">
        <w:rPr>
          <w:rFonts w:ascii="Arial" w:eastAsia="Times New Roman" w:hAnsi="Arial" w:cs="Arial"/>
        </w:rPr>
        <w:t xml:space="preserve"> (Ritalin), </w:t>
      </w:r>
      <w:hyperlink r:id="rId10" w:tooltip="Lisdexamfetamine" w:history="1">
        <w:proofErr w:type="spellStart"/>
        <w:r w:rsidRPr="00A316C5">
          <w:rPr>
            <w:rFonts w:ascii="Arial" w:eastAsia="Times New Roman" w:hAnsi="Arial" w:cs="Arial"/>
          </w:rPr>
          <w:t>lisdexamfetamine</w:t>
        </w:r>
        <w:proofErr w:type="spellEnd"/>
      </w:hyperlink>
      <w:r w:rsidRPr="00A316C5">
        <w:rPr>
          <w:rFonts w:ascii="Arial" w:eastAsia="Times New Roman" w:hAnsi="Arial" w:cs="Arial"/>
        </w:rPr>
        <w:t xml:space="preserve"> (</w:t>
      </w:r>
      <w:proofErr w:type="spellStart"/>
      <w:r w:rsidRPr="00A316C5">
        <w:rPr>
          <w:rFonts w:ascii="Arial" w:eastAsia="Times New Roman" w:hAnsi="Arial" w:cs="Arial"/>
        </w:rPr>
        <w:t>Vyvanse</w:t>
      </w:r>
      <w:proofErr w:type="spellEnd"/>
      <w:r w:rsidRPr="00A316C5">
        <w:rPr>
          <w:rFonts w:ascii="Arial" w:eastAsia="Times New Roman" w:hAnsi="Arial" w:cs="Arial"/>
        </w:rPr>
        <w:t xml:space="preserve">), </w:t>
      </w:r>
      <w:hyperlink r:id="rId11" w:tooltip="Cocaine" w:history="1">
        <w:r w:rsidRPr="00A316C5">
          <w:rPr>
            <w:rFonts w:ascii="Arial" w:eastAsia="Times New Roman" w:hAnsi="Arial" w:cs="Arial"/>
          </w:rPr>
          <w:t>cocaine</w:t>
        </w:r>
      </w:hyperlink>
      <w:r w:rsidRPr="00A316C5">
        <w:rPr>
          <w:rFonts w:ascii="Arial" w:eastAsia="Times New Roman" w:hAnsi="Arial" w:cs="Arial"/>
        </w:rPr>
        <w:t xml:space="preserve"> (found in </w:t>
      </w:r>
      <w:hyperlink r:id="rId12" w:tooltip="Erythroxylum coca" w:history="1">
        <w:proofErr w:type="spellStart"/>
        <w:r w:rsidRPr="00A316C5">
          <w:rPr>
            <w:rFonts w:ascii="Arial" w:eastAsia="Times New Roman" w:hAnsi="Arial" w:cs="Arial"/>
            <w:i/>
            <w:iCs/>
          </w:rPr>
          <w:t>Erythroxylum</w:t>
        </w:r>
        <w:proofErr w:type="spellEnd"/>
        <w:r w:rsidRPr="00A316C5">
          <w:rPr>
            <w:rFonts w:ascii="Arial" w:eastAsia="Times New Roman" w:hAnsi="Arial" w:cs="Arial"/>
            <w:i/>
            <w:iCs/>
          </w:rPr>
          <w:t xml:space="preserve"> coca</w:t>
        </w:r>
      </w:hyperlink>
      <w:r w:rsidRPr="00A316C5">
        <w:rPr>
          <w:rFonts w:ascii="Arial" w:eastAsia="Times New Roman" w:hAnsi="Arial" w:cs="Arial"/>
        </w:rPr>
        <w:t xml:space="preserve">, Coca), </w:t>
      </w:r>
      <w:hyperlink r:id="rId13" w:tooltip="Cathinone" w:history="1">
        <w:proofErr w:type="spellStart"/>
        <w:r w:rsidRPr="00A316C5">
          <w:rPr>
            <w:rFonts w:ascii="Arial" w:eastAsia="Times New Roman" w:hAnsi="Arial" w:cs="Arial"/>
          </w:rPr>
          <w:t>cathinone</w:t>
        </w:r>
        <w:proofErr w:type="spellEnd"/>
      </w:hyperlink>
      <w:r w:rsidRPr="00A316C5">
        <w:rPr>
          <w:rFonts w:ascii="Arial" w:eastAsia="Times New Roman" w:hAnsi="Arial" w:cs="Arial"/>
        </w:rPr>
        <w:t xml:space="preserve">, </w:t>
      </w:r>
      <w:hyperlink r:id="rId14" w:tooltip="Cathine" w:history="1">
        <w:proofErr w:type="spellStart"/>
        <w:r w:rsidRPr="00A316C5">
          <w:rPr>
            <w:rFonts w:ascii="Arial" w:eastAsia="Times New Roman" w:hAnsi="Arial" w:cs="Arial"/>
          </w:rPr>
          <w:t>cathine</w:t>
        </w:r>
        <w:proofErr w:type="spellEnd"/>
      </w:hyperlink>
      <w:r w:rsidRPr="00A316C5">
        <w:rPr>
          <w:rFonts w:ascii="Arial" w:eastAsia="Times New Roman" w:hAnsi="Arial" w:cs="Arial"/>
        </w:rPr>
        <w:t xml:space="preserve">, </w:t>
      </w:r>
      <w:hyperlink r:id="rId15" w:tooltip="Benzylpiperazine" w:history="1">
        <w:proofErr w:type="spellStart"/>
        <w:r w:rsidRPr="00A316C5">
          <w:rPr>
            <w:rFonts w:ascii="Arial" w:eastAsia="Times New Roman" w:hAnsi="Arial" w:cs="Arial"/>
          </w:rPr>
          <w:t>benzylpiperazine</w:t>
        </w:r>
        <w:proofErr w:type="spellEnd"/>
      </w:hyperlink>
      <w:r w:rsidRPr="00A316C5">
        <w:rPr>
          <w:rFonts w:ascii="Arial" w:eastAsia="Times New Roman" w:hAnsi="Arial" w:cs="Arial"/>
        </w:rPr>
        <w:t xml:space="preserve"> (BZP), </w:t>
      </w:r>
      <w:hyperlink r:id="rId16" w:tooltip="Methylenedioxypyrovalerone" w:history="1">
        <w:proofErr w:type="spellStart"/>
        <w:r w:rsidRPr="00A316C5">
          <w:rPr>
            <w:rFonts w:ascii="Arial" w:eastAsia="Times New Roman" w:hAnsi="Arial" w:cs="Arial"/>
          </w:rPr>
          <w:t>methylenedioxypyrovalerone</w:t>
        </w:r>
        <w:proofErr w:type="spellEnd"/>
      </w:hyperlink>
      <w:r w:rsidRPr="00A316C5">
        <w:rPr>
          <w:rFonts w:ascii="Arial" w:eastAsia="Times New Roman" w:hAnsi="Arial" w:cs="Arial"/>
        </w:rPr>
        <w:t xml:space="preserve"> (MDPV), </w:t>
      </w:r>
      <w:hyperlink r:id="rId17" w:tooltip="4-methylaminorex" w:history="1">
        <w:r w:rsidRPr="00A316C5">
          <w:rPr>
            <w:rFonts w:ascii="Arial" w:eastAsia="Times New Roman" w:hAnsi="Arial" w:cs="Arial"/>
          </w:rPr>
          <w:t>4-methylaminorex</w:t>
        </w:r>
      </w:hyperlink>
      <w:r w:rsidRPr="00A316C5">
        <w:rPr>
          <w:rFonts w:ascii="Arial" w:eastAsia="Times New Roman" w:hAnsi="Arial" w:cs="Arial"/>
        </w:rPr>
        <w:t xml:space="preserve">, </w:t>
      </w:r>
      <w:hyperlink r:id="rId18" w:tooltip="Pemoline" w:history="1">
        <w:proofErr w:type="spellStart"/>
        <w:r w:rsidRPr="00A316C5">
          <w:rPr>
            <w:rFonts w:ascii="Arial" w:eastAsia="Times New Roman" w:hAnsi="Arial" w:cs="Arial"/>
          </w:rPr>
          <w:t>pemoline</w:t>
        </w:r>
        <w:proofErr w:type="spellEnd"/>
      </w:hyperlink>
      <w:r w:rsidRPr="00A316C5">
        <w:rPr>
          <w:rFonts w:ascii="Arial" w:eastAsia="Times New Roman" w:hAnsi="Arial" w:cs="Arial"/>
        </w:rPr>
        <w:t xml:space="preserve"> (</w:t>
      </w:r>
      <w:proofErr w:type="spellStart"/>
      <w:r w:rsidRPr="00A316C5">
        <w:rPr>
          <w:rFonts w:ascii="Arial" w:eastAsia="Times New Roman" w:hAnsi="Arial" w:cs="Arial"/>
        </w:rPr>
        <w:t>Cylert</w:t>
      </w:r>
      <w:proofErr w:type="spellEnd"/>
      <w:r w:rsidRPr="00A316C5">
        <w:rPr>
          <w:rFonts w:ascii="Arial" w:eastAsia="Times New Roman" w:hAnsi="Arial" w:cs="Arial"/>
        </w:rPr>
        <w:t xml:space="preserve">), </w:t>
      </w:r>
      <w:hyperlink r:id="rId19" w:tooltip="Phenmetrazine" w:history="1">
        <w:proofErr w:type="spellStart"/>
        <w:r w:rsidRPr="00A316C5">
          <w:rPr>
            <w:rFonts w:ascii="Arial" w:eastAsia="Times New Roman" w:hAnsi="Arial" w:cs="Arial"/>
          </w:rPr>
          <w:t>phenmetrazine</w:t>
        </w:r>
        <w:proofErr w:type="spellEnd"/>
      </w:hyperlink>
      <w:r w:rsidRPr="00A316C5">
        <w:rPr>
          <w:rFonts w:ascii="Arial" w:eastAsia="Times New Roman" w:hAnsi="Arial" w:cs="Arial"/>
        </w:rPr>
        <w:t xml:space="preserve"> (</w:t>
      </w:r>
      <w:proofErr w:type="spellStart"/>
      <w:r w:rsidRPr="00A316C5">
        <w:rPr>
          <w:rFonts w:ascii="Arial" w:eastAsia="Times New Roman" w:hAnsi="Arial" w:cs="Arial"/>
        </w:rPr>
        <w:t>Preludin</w:t>
      </w:r>
      <w:proofErr w:type="spellEnd"/>
      <w:r w:rsidRPr="00A316C5">
        <w:rPr>
          <w:rFonts w:ascii="Arial" w:eastAsia="Times New Roman" w:hAnsi="Arial" w:cs="Arial"/>
        </w:rPr>
        <w:t xml:space="preserve">), </w:t>
      </w:r>
      <w:hyperlink r:id="rId20" w:tooltip="Propylhexedrine" w:history="1">
        <w:proofErr w:type="spellStart"/>
        <w:r w:rsidRPr="00A316C5">
          <w:rPr>
            <w:rFonts w:ascii="Arial" w:eastAsia="Times New Roman" w:hAnsi="Arial" w:cs="Arial"/>
          </w:rPr>
          <w:t>propylhexedrine</w:t>
        </w:r>
        <w:proofErr w:type="spellEnd"/>
      </w:hyperlink>
      <w:r w:rsidRPr="00A316C5">
        <w:rPr>
          <w:rFonts w:ascii="Arial" w:eastAsia="Times New Roman" w:hAnsi="Arial" w:cs="Arial"/>
        </w:rPr>
        <w:t xml:space="preserve"> (</w:t>
      </w:r>
      <w:proofErr w:type="spellStart"/>
      <w:r w:rsidRPr="00A316C5">
        <w:rPr>
          <w:rFonts w:ascii="Arial" w:eastAsia="Times New Roman" w:hAnsi="Arial" w:cs="Arial"/>
        </w:rPr>
        <w:t>Benzedrex</w:t>
      </w:r>
      <w:proofErr w:type="spellEnd"/>
      <w:r w:rsidRPr="00A316C5">
        <w:rPr>
          <w:rFonts w:ascii="Arial" w:eastAsia="Times New Roman" w:hAnsi="Arial" w:cs="Arial"/>
        </w:rPr>
        <w:t>)</w:t>
      </w:r>
    </w:p>
    <w:p w:rsidR="008D22CC" w:rsidRPr="00A316C5" w:rsidRDefault="008D22CC" w:rsidP="008D22CC">
      <w:pPr>
        <w:autoSpaceDE w:val="0"/>
        <w:autoSpaceDN w:val="0"/>
        <w:adjustRightInd w:val="0"/>
        <w:spacing w:after="0" w:line="240" w:lineRule="auto"/>
        <w:rPr>
          <w:rFonts w:ascii="Arial" w:hAnsi="Arial" w:cs="Arial"/>
        </w:rPr>
      </w:pPr>
    </w:p>
    <w:p w:rsidR="008D22CC" w:rsidRPr="00A316C5" w:rsidRDefault="008D22CC" w:rsidP="008D22CC">
      <w:pPr>
        <w:autoSpaceDE w:val="0"/>
        <w:autoSpaceDN w:val="0"/>
        <w:adjustRightInd w:val="0"/>
        <w:spacing w:after="0" w:line="240" w:lineRule="auto"/>
        <w:rPr>
          <w:rFonts w:ascii="Arial" w:hAnsi="Arial" w:cs="Arial"/>
        </w:rPr>
      </w:pPr>
      <w:r w:rsidRPr="00A316C5">
        <w:rPr>
          <w:rFonts w:ascii="Arial" w:hAnsi="Arial" w:cs="Arial"/>
          <w:b/>
          <w:u w:val="single"/>
        </w:rPr>
        <w:t>Strong Relative Hazards</w:t>
      </w:r>
      <w:r w:rsidRPr="00A316C5">
        <w:rPr>
          <w:rFonts w:ascii="Arial" w:hAnsi="Arial" w:cs="Arial"/>
        </w:rPr>
        <w:t xml:space="preserve"> </w:t>
      </w:r>
    </w:p>
    <w:p w:rsidR="008D22CC" w:rsidRPr="00A316C5" w:rsidRDefault="008D22CC" w:rsidP="008D22CC">
      <w:pPr>
        <w:autoSpaceDE w:val="0"/>
        <w:autoSpaceDN w:val="0"/>
        <w:adjustRightInd w:val="0"/>
        <w:spacing w:after="0" w:line="240" w:lineRule="auto"/>
        <w:rPr>
          <w:rFonts w:ascii="Arial" w:hAnsi="Arial" w:cs="Arial"/>
        </w:rPr>
      </w:pPr>
      <w:r w:rsidRPr="00A316C5">
        <w:rPr>
          <w:rFonts w:ascii="Arial" w:hAnsi="Arial" w:cs="Arial"/>
        </w:rPr>
        <w:t xml:space="preserve">(Participants are considered a strong relative risk of seizures if they are going through </w:t>
      </w:r>
      <w:proofErr w:type="spellStart"/>
      <w:r w:rsidRPr="00A316C5">
        <w:rPr>
          <w:rFonts w:ascii="Arial" w:hAnsi="Arial" w:cs="Arial"/>
        </w:rPr>
        <w:t>withdrawl</w:t>
      </w:r>
      <w:proofErr w:type="spellEnd"/>
      <w:r w:rsidRPr="00A316C5">
        <w:rPr>
          <w:rFonts w:ascii="Arial" w:hAnsi="Arial" w:cs="Arial"/>
        </w:rPr>
        <w:t xml:space="preserve"> from one of the following drugs)</w:t>
      </w:r>
    </w:p>
    <w:p w:rsidR="008D22CC" w:rsidRPr="00A316C5" w:rsidRDefault="008D22CC" w:rsidP="008D22CC">
      <w:pPr>
        <w:pStyle w:val="ListParagraph"/>
        <w:numPr>
          <w:ilvl w:val="0"/>
          <w:numId w:val="2"/>
        </w:numPr>
        <w:autoSpaceDE w:val="0"/>
        <w:autoSpaceDN w:val="0"/>
        <w:adjustRightInd w:val="0"/>
        <w:spacing w:after="0" w:line="240" w:lineRule="auto"/>
        <w:rPr>
          <w:rFonts w:ascii="Arial" w:hAnsi="Arial" w:cs="Arial"/>
        </w:rPr>
      </w:pPr>
      <w:r w:rsidRPr="00A316C5">
        <w:rPr>
          <w:rFonts w:ascii="Arial" w:hAnsi="Arial" w:cs="Arial"/>
        </w:rPr>
        <w:t>alcohol</w:t>
      </w:r>
    </w:p>
    <w:p w:rsidR="008D22CC" w:rsidRPr="00A316C5" w:rsidRDefault="008D22CC" w:rsidP="008D22CC">
      <w:pPr>
        <w:pStyle w:val="ListParagraph"/>
        <w:numPr>
          <w:ilvl w:val="0"/>
          <w:numId w:val="2"/>
        </w:numPr>
        <w:autoSpaceDE w:val="0"/>
        <w:autoSpaceDN w:val="0"/>
        <w:adjustRightInd w:val="0"/>
        <w:spacing w:after="0" w:line="240" w:lineRule="auto"/>
        <w:rPr>
          <w:rFonts w:ascii="Arial" w:hAnsi="Arial" w:cs="Arial"/>
        </w:rPr>
      </w:pPr>
      <w:r w:rsidRPr="00A316C5">
        <w:rPr>
          <w:rFonts w:ascii="Arial" w:hAnsi="Arial" w:cs="Arial"/>
        </w:rPr>
        <w:t xml:space="preserve">barbiturates (Examples include </w:t>
      </w:r>
      <w:proofErr w:type="spellStart"/>
      <w:r w:rsidRPr="00A316C5">
        <w:rPr>
          <w:rFonts w:ascii="Arial" w:hAnsi="Arial" w:cs="Arial"/>
        </w:rPr>
        <w:t>amobarbital</w:t>
      </w:r>
      <w:proofErr w:type="spellEnd"/>
      <w:r w:rsidRPr="00A316C5">
        <w:rPr>
          <w:rFonts w:ascii="Arial" w:hAnsi="Arial" w:cs="Arial"/>
        </w:rPr>
        <w:t xml:space="preserve">, </w:t>
      </w:r>
      <w:proofErr w:type="spellStart"/>
      <w:r w:rsidRPr="00A316C5">
        <w:rPr>
          <w:rFonts w:ascii="Arial" w:hAnsi="Arial" w:cs="Arial"/>
        </w:rPr>
        <w:t>butalbital</w:t>
      </w:r>
      <w:proofErr w:type="spellEnd"/>
      <w:r w:rsidRPr="00A316C5">
        <w:rPr>
          <w:rFonts w:ascii="Arial" w:hAnsi="Arial" w:cs="Arial"/>
        </w:rPr>
        <w:t xml:space="preserve">, </w:t>
      </w:r>
      <w:proofErr w:type="spellStart"/>
      <w:r w:rsidRPr="00A316C5">
        <w:rPr>
          <w:rFonts w:ascii="Arial" w:hAnsi="Arial" w:cs="Arial"/>
        </w:rPr>
        <w:t>cyclobarbital</w:t>
      </w:r>
      <w:proofErr w:type="spellEnd"/>
      <w:r w:rsidRPr="00A316C5">
        <w:rPr>
          <w:rFonts w:ascii="Arial" w:hAnsi="Arial" w:cs="Arial"/>
        </w:rPr>
        <w:t xml:space="preserve">, pentobarbital, </w:t>
      </w:r>
      <w:proofErr w:type="spellStart"/>
      <w:r w:rsidRPr="00A316C5">
        <w:rPr>
          <w:rFonts w:ascii="Arial" w:hAnsi="Arial" w:cs="Arial"/>
        </w:rPr>
        <w:t>allobarbital</w:t>
      </w:r>
      <w:proofErr w:type="spellEnd"/>
      <w:r w:rsidRPr="00A316C5">
        <w:rPr>
          <w:rFonts w:ascii="Arial" w:hAnsi="Arial" w:cs="Arial"/>
        </w:rPr>
        <w:t xml:space="preserve">, </w:t>
      </w:r>
      <w:proofErr w:type="spellStart"/>
      <w:r w:rsidRPr="00A316C5">
        <w:rPr>
          <w:rFonts w:ascii="Arial" w:hAnsi="Arial" w:cs="Arial"/>
        </w:rPr>
        <w:t>methylphenobarbital</w:t>
      </w:r>
      <w:proofErr w:type="spellEnd"/>
      <w:r w:rsidRPr="00A316C5">
        <w:rPr>
          <w:rFonts w:ascii="Arial" w:hAnsi="Arial" w:cs="Arial"/>
        </w:rPr>
        <w:t xml:space="preserve">, </w:t>
      </w:r>
      <w:proofErr w:type="spellStart"/>
      <w:r w:rsidRPr="00A316C5">
        <w:rPr>
          <w:rFonts w:ascii="Arial" w:hAnsi="Arial" w:cs="Arial"/>
        </w:rPr>
        <w:t>phenobarbital</w:t>
      </w:r>
      <w:proofErr w:type="spellEnd"/>
      <w:r w:rsidRPr="00A316C5">
        <w:rPr>
          <w:rFonts w:ascii="Arial" w:hAnsi="Arial" w:cs="Arial"/>
        </w:rPr>
        <w:t xml:space="preserve">, </w:t>
      </w:r>
      <w:proofErr w:type="spellStart"/>
      <w:r w:rsidRPr="00A316C5">
        <w:rPr>
          <w:rFonts w:ascii="Arial" w:hAnsi="Arial" w:cs="Arial"/>
        </w:rPr>
        <w:t>secobarbital</w:t>
      </w:r>
      <w:proofErr w:type="spellEnd"/>
      <w:r w:rsidRPr="00A316C5">
        <w:rPr>
          <w:rFonts w:ascii="Arial" w:hAnsi="Arial" w:cs="Arial"/>
        </w:rPr>
        <w:t xml:space="preserve"> , </w:t>
      </w:r>
      <w:proofErr w:type="spellStart"/>
      <w:r w:rsidRPr="00A316C5">
        <w:rPr>
          <w:rFonts w:ascii="Arial" w:hAnsi="Arial" w:cs="Arial"/>
        </w:rPr>
        <w:t>vinylbital</w:t>
      </w:r>
      <w:proofErr w:type="spellEnd"/>
      <w:r w:rsidRPr="00A316C5">
        <w:rPr>
          <w:rFonts w:ascii="Arial" w:hAnsi="Arial" w:cs="Arial"/>
        </w:rPr>
        <w:t>)</w:t>
      </w:r>
    </w:p>
    <w:p w:rsidR="008D22CC" w:rsidRPr="00A316C5" w:rsidRDefault="008D22CC" w:rsidP="008D22CC">
      <w:pPr>
        <w:pStyle w:val="ListParagraph"/>
        <w:numPr>
          <w:ilvl w:val="0"/>
          <w:numId w:val="2"/>
        </w:numPr>
        <w:autoSpaceDE w:val="0"/>
        <w:autoSpaceDN w:val="0"/>
        <w:adjustRightInd w:val="0"/>
        <w:spacing w:after="0" w:line="240" w:lineRule="auto"/>
        <w:rPr>
          <w:rFonts w:ascii="Arial" w:hAnsi="Arial" w:cs="Arial"/>
        </w:rPr>
      </w:pPr>
      <w:r w:rsidRPr="00A316C5">
        <w:rPr>
          <w:rFonts w:ascii="Arial" w:hAnsi="Arial" w:cs="Arial"/>
        </w:rPr>
        <w:t xml:space="preserve">benzodiazepines (Examples include </w:t>
      </w:r>
      <w:proofErr w:type="spellStart"/>
      <w:r w:rsidRPr="00A316C5">
        <w:rPr>
          <w:rFonts w:ascii="Arial" w:hAnsi="Arial" w:cs="Arial"/>
          <w:i/>
          <w:iCs/>
        </w:rPr>
        <w:t>Xanax,Valium,Klonopin,Ativan,Restoril,Halcion</w:t>
      </w:r>
      <w:proofErr w:type="spellEnd"/>
      <w:r w:rsidRPr="00A316C5">
        <w:rPr>
          <w:rFonts w:ascii="Arial" w:hAnsi="Arial" w:cs="Arial"/>
          <w:i/>
          <w:iCs/>
        </w:rPr>
        <w:t>)</w:t>
      </w:r>
    </w:p>
    <w:p w:rsidR="008D22CC" w:rsidRPr="00A316C5" w:rsidRDefault="008D22CC" w:rsidP="008D22CC">
      <w:pPr>
        <w:pStyle w:val="ListParagraph"/>
        <w:numPr>
          <w:ilvl w:val="0"/>
          <w:numId w:val="2"/>
        </w:numPr>
        <w:autoSpaceDE w:val="0"/>
        <w:autoSpaceDN w:val="0"/>
        <w:adjustRightInd w:val="0"/>
        <w:spacing w:after="0" w:line="240" w:lineRule="auto"/>
        <w:rPr>
          <w:rFonts w:ascii="Arial" w:hAnsi="Arial" w:cs="Arial"/>
        </w:rPr>
      </w:pPr>
      <w:proofErr w:type="spellStart"/>
      <w:r w:rsidRPr="00A316C5">
        <w:rPr>
          <w:rFonts w:ascii="Arial" w:hAnsi="Arial" w:cs="Arial"/>
        </w:rPr>
        <w:t>meprobamate</w:t>
      </w:r>
      <w:proofErr w:type="spellEnd"/>
      <w:r w:rsidRPr="00A316C5">
        <w:rPr>
          <w:rFonts w:ascii="Arial" w:hAnsi="Arial" w:cs="Arial"/>
        </w:rPr>
        <w:t xml:space="preserve"> (</w:t>
      </w:r>
      <w:proofErr w:type="spellStart"/>
      <w:r w:rsidRPr="00A316C5">
        <w:rPr>
          <w:rFonts w:ascii="Arial" w:hAnsi="Arial" w:cs="Arial"/>
        </w:rPr>
        <w:t>Equanil</w:t>
      </w:r>
      <w:proofErr w:type="spellEnd"/>
      <w:r w:rsidRPr="00A316C5">
        <w:rPr>
          <w:rFonts w:ascii="Arial" w:hAnsi="Arial" w:cs="Arial"/>
        </w:rPr>
        <w:t xml:space="preserve">, </w:t>
      </w:r>
      <w:proofErr w:type="spellStart"/>
      <w:r w:rsidRPr="00A316C5">
        <w:rPr>
          <w:rFonts w:ascii="Arial" w:hAnsi="Arial" w:cs="Arial"/>
        </w:rPr>
        <w:t>Mepriam</w:t>
      </w:r>
      <w:proofErr w:type="spellEnd"/>
      <w:r w:rsidRPr="00A316C5">
        <w:rPr>
          <w:rFonts w:ascii="Arial" w:hAnsi="Arial" w:cs="Arial"/>
        </w:rPr>
        <w:t>)</w:t>
      </w:r>
    </w:p>
    <w:p w:rsidR="008D22CC" w:rsidRPr="00A316C5" w:rsidRDefault="008D22CC" w:rsidP="008D22CC">
      <w:pPr>
        <w:pStyle w:val="ListParagraph"/>
        <w:numPr>
          <w:ilvl w:val="0"/>
          <w:numId w:val="2"/>
        </w:numPr>
        <w:autoSpaceDE w:val="0"/>
        <w:autoSpaceDN w:val="0"/>
        <w:adjustRightInd w:val="0"/>
        <w:spacing w:after="0" w:line="240" w:lineRule="auto"/>
        <w:rPr>
          <w:rFonts w:ascii="Arial" w:hAnsi="Arial" w:cs="Arial"/>
        </w:rPr>
      </w:pPr>
      <w:r w:rsidRPr="00A316C5">
        <w:rPr>
          <w:rFonts w:ascii="Arial" w:hAnsi="Arial" w:cs="Arial"/>
        </w:rPr>
        <w:t>chloral hydrate (</w:t>
      </w:r>
      <w:proofErr w:type="spellStart"/>
      <w:r w:rsidR="007E32D0" w:rsidRPr="008D22CC">
        <w:rPr>
          <w:rFonts w:ascii="Arial" w:hAnsi="Arial" w:cs="Arial"/>
          <w:bCs/>
        </w:rPr>
        <w:fldChar w:fldCharType="begin"/>
      </w:r>
      <w:r w:rsidRPr="008D22CC">
        <w:rPr>
          <w:rFonts w:ascii="Arial" w:hAnsi="Arial" w:cs="Arial"/>
          <w:bCs/>
        </w:rPr>
        <w:instrText xml:space="preserve"> HYPERLINK "http://www.drugs.com/cdi/somnote.html" </w:instrText>
      </w:r>
      <w:r w:rsidR="007E32D0" w:rsidRPr="008D22CC">
        <w:rPr>
          <w:rFonts w:ascii="Arial" w:hAnsi="Arial" w:cs="Arial"/>
          <w:bCs/>
        </w:rPr>
        <w:fldChar w:fldCharType="separate"/>
      </w:r>
      <w:r w:rsidRPr="008D22CC">
        <w:rPr>
          <w:rStyle w:val="Hyperlink"/>
          <w:rFonts w:ascii="Arial" w:hAnsi="Arial" w:cs="Arial"/>
          <w:bCs/>
          <w:color w:val="auto"/>
          <w:u w:val="none"/>
        </w:rPr>
        <w:t>Somnote</w:t>
      </w:r>
      <w:proofErr w:type="spellEnd"/>
      <w:r w:rsidR="007E32D0" w:rsidRPr="008D22CC">
        <w:rPr>
          <w:rFonts w:ascii="Arial" w:hAnsi="Arial" w:cs="Arial"/>
          <w:bCs/>
        </w:rPr>
        <w:fldChar w:fldCharType="end"/>
      </w:r>
      <w:r w:rsidRPr="008D22CC">
        <w:rPr>
          <w:rFonts w:ascii="Arial" w:hAnsi="Arial" w:cs="Arial"/>
          <w:bCs/>
        </w:rPr>
        <w:t xml:space="preserve">, </w:t>
      </w:r>
      <w:hyperlink r:id="rId21" w:history="1">
        <w:proofErr w:type="spellStart"/>
        <w:r w:rsidRPr="008D22CC">
          <w:rPr>
            <w:rStyle w:val="Hyperlink"/>
            <w:rFonts w:ascii="Arial" w:hAnsi="Arial" w:cs="Arial"/>
            <w:bCs/>
            <w:color w:val="auto"/>
            <w:u w:val="none"/>
          </w:rPr>
          <w:t>Aquachloral</w:t>
        </w:r>
        <w:proofErr w:type="spellEnd"/>
        <w:r w:rsidRPr="008D22CC">
          <w:rPr>
            <w:rStyle w:val="Hyperlink"/>
            <w:rFonts w:ascii="Arial" w:hAnsi="Arial" w:cs="Arial"/>
            <w:bCs/>
            <w:color w:val="auto"/>
            <w:u w:val="none"/>
          </w:rPr>
          <w:t xml:space="preserve"> </w:t>
        </w:r>
        <w:proofErr w:type="spellStart"/>
        <w:r w:rsidRPr="008D22CC">
          <w:rPr>
            <w:rStyle w:val="Hyperlink"/>
            <w:rFonts w:ascii="Arial" w:hAnsi="Arial" w:cs="Arial"/>
            <w:bCs/>
            <w:color w:val="auto"/>
            <w:u w:val="none"/>
          </w:rPr>
          <w:t>Supprettes</w:t>
        </w:r>
        <w:proofErr w:type="spellEnd"/>
      </w:hyperlink>
      <w:r w:rsidRPr="00A316C5">
        <w:rPr>
          <w:rFonts w:ascii="Arial" w:hAnsi="Arial" w:cs="Arial"/>
          <w:bCs/>
        </w:rPr>
        <w:t>)</w:t>
      </w:r>
    </w:p>
    <w:p w:rsidR="008D22CC" w:rsidRPr="00A316C5" w:rsidRDefault="008D22CC" w:rsidP="008D22CC">
      <w:pPr>
        <w:autoSpaceDE w:val="0"/>
        <w:autoSpaceDN w:val="0"/>
        <w:adjustRightInd w:val="0"/>
        <w:spacing w:after="0" w:line="240" w:lineRule="auto"/>
        <w:rPr>
          <w:rFonts w:ascii="Arial" w:hAnsi="Arial" w:cs="Arial"/>
        </w:rPr>
      </w:pPr>
      <w:r w:rsidRPr="00A316C5">
        <w:rPr>
          <w:rFonts w:ascii="Arial" w:hAnsi="Arial" w:cs="Arial"/>
        </w:rPr>
        <w:t xml:space="preserve"> </w:t>
      </w: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7. Emergency phone numbers to both the Thompson Student Health Center and Palmetto Richland Hospital will be clearly posted in the USC Brain Stimulation Lab, in the case of emergency.   In addition, the name and cell phone number</w:t>
      </w:r>
      <w:r>
        <w:rPr>
          <w:rFonts w:ascii="Arial" w:hAnsi="Arial" w:cs="Arial"/>
          <w:sz w:val="22"/>
          <w:szCs w:val="22"/>
        </w:rPr>
        <w:t xml:space="preserve"> and office number </w:t>
      </w:r>
      <w:r w:rsidRPr="00A316C5">
        <w:rPr>
          <w:rFonts w:ascii="Arial" w:hAnsi="Arial" w:cs="Arial"/>
          <w:sz w:val="22"/>
          <w:szCs w:val="22"/>
        </w:rPr>
        <w:t xml:space="preserve">of the </w:t>
      </w:r>
      <w:r>
        <w:rPr>
          <w:rFonts w:ascii="Arial" w:hAnsi="Arial" w:cs="Arial"/>
          <w:sz w:val="22"/>
          <w:szCs w:val="22"/>
        </w:rPr>
        <w:t>CPR/First Aid trained responder that is</w:t>
      </w:r>
      <w:r w:rsidRPr="00A316C5">
        <w:rPr>
          <w:rFonts w:ascii="Arial" w:hAnsi="Arial" w:cs="Arial"/>
          <w:sz w:val="22"/>
          <w:szCs w:val="22"/>
        </w:rPr>
        <w:t xml:space="preserve"> “on call” will be posted prior to all TMS studies.  Investigator</w:t>
      </w:r>
      <w:r>
        <w:rPr>
          <w:rFonts w:ascii="Arial" w:hAnsi="Arial" w:cs="Arial"/>
          <w:sz w:val="22"/>
          <w:szCs w:val="22"/>
        </w:rPr>
        <w:t>s</w:t>
      </w:r>
      <w:r w:rsidRPr="00A316C5">
        <w:rPr>
          <w:rFonts w:ascii="Arial" w:hAnsi="Arial" w:cs="Arial"/>
          <w:sz w:val="22"/>
          <w:szCs w:val="22"/>
        </w:rPr>
        <w:t xml:space="preserve"> must also be familiar with the Lab Poli</w:t>
      </w:r>
      <w:r>
        <w:rPr>
          <w:rFonts w:ascii="Arial" w:hAnsi="Arial" w:cs="Arial"/>
          <w:sz w:val="22"/>
          <w:szCs w:val="22"/>
        </w:rPr>
        <w:t xml:space="preserve">cy for seizures, which is: (a) </w:t>
      </w:r>
      <w:r w:rsidRPr="00A316C5">
        <w:rPr>
          <w:rFonts w:ascii="Arial" w:hAnsi="Arial" w:cs="Arial"/>
          <w:sz w:val="22"/>
          <w:szCs w:val="22"/>
        </w:rPr>
        <w:t xml:space="preserve">Call 911 for emergency assistance in most cases. (b) Alert the </w:t>
      </w:r>
      <w:r>
        <w:rPr>
          <w:rFonts w:ascii="Arial" w:hAnsi="Arial" w:cs="Arial"/>
          <w:sz w:val="22"/>
          <w:szCs w:val="22"/>
        </w:rPr>
        <w:t>CPR/First Aid trained responder</w:t>
      </w:r>
      <w:r w:rsidRPr="00A316C5">
        <w:rPr>
          <w:rFonts w:ascii="Arial" w:hAnsi="Arial" w:cs="Arial"/>
          <w:sz w:val="22"/>
          <w:szCs w:val="22"/>
        </w:rPr>
        <w:t xml:space="preserve"> </w:t>
      </w:r>
      <w:r>
        <w:rPr>
          <w:rFonts w:ascii="Arial" w:hAnsi="Arial" w:cs="Arial"/>
          <w:sz w:val="22"/>
          <w:szCs w:val="22"/>
        </w:rPr>
        <w:t xml:space="preserve">that is </w:t>
      </w:r>
      <w:r w:rsidRPr="00A316C5">
        <w:rPr>
          <w:rFonts w:ascii="Arial" w:hAnsi="Arial" w:cs="Arial"/>
          <w:sz w:val="22"/>
          <w:szCs w:val="22"/>
        </w:rPr>
        <w:t>“on call” (c) Follow procedures set out by the American Red Cross for caring for patients that are having a seizure.  The following “Seizure Symptoms” and “Seizure First Aid Steps” will also be posted in the USC Brain Stimulation Laboratory:</w:t>
      </w:r>
    </w:p>
    <w:p w:rsidR="008D22CC" w:rsidRPr="00A316C5"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b/>
          <w:sz w:val="22"/>
          <w:szCs w:val="22"/>
        </w:rPr>
      </w:pPr>
      <w:r w:rsidRPr="00A316C5">
        <w:rPr>
          <w:rFonts w:ascii="Arial" w:hAnsi="Arial" w:cs="Arial"/>
          <w:b/>
          <w:bCs/>
          <w:sz w:val="22"/>
          <w:szCs w:val="22"/>
        </w:rPr>
        <w:t>Symptoms of a Seizure (American Red Cross):</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A sudden rise in body temperature</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A change in the level of consciousness</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Rhythmic jerking of the head and</w:t>
      </w:r>
      <w:r>
        <w:rPr>
          <w:rFonts w:ascii="Arial" w:hAnsi="Arial" w:cs="Arial"/>
          <w:bCs/>
          <w:sz w:val="22"/>
          <w:szCs w:val="22"/>
        </w:rPr>
        <w:t>/or</w:t>
      </w:r>
      <w:r w:rsidRPr="00A316C5">
        <w:rPr>
          <w:rFonts w:ascii="Arial" w:hAnsi="Arial" w:cs="Arial"/>
          <w:bCs/>
          <w:sz w:val="22"/>
          <w:szCs w:val="22"/>
        </w:rPr>
        <w:t xml:space="preserve"> limbs</w:t>
      </w:r>
    </w:p>
    <w:p w:rsidR="008D22CC" w:rsidRPr="00A316C5" w:rsidRDefault="008D22CC" w:rsidP="008D22CC">
      <w:pPr>
        <w:pStyle w:val="PlainText"/>
        <w:numPr>
          <w:ilvl w:val="0"/>
          <w:numId w:val="3"/>
        </w:numPr>
        <w:rPr>
          <w:rFonts w:ascii="Arial" w:hAnsi="Arial" w:cs="Arial"/>
          <w:sz w:val="22"/>
          <w:szCs w:val="22"/>
        </w:rPr>
      </w:pPr>
      <w:r>
        <w:rPr>
          <w:rFonts w:ascii="Arial" w:hAnsi="Arial" w:cs="Arial"/>
          <w:bCs/>
          <w:sz w:val="22"/>
          <w:szCs w:val="22"/>
        </w:rPr>
        <w:t>Unintentional u</w:t>
      </w:r>
      <w:r w:rsidRPr="00A316C5">
        <w:rPr>
          <w:rFonts w:ascii="Arial" w:hAnsi="Arial" w:cs="Arial"/>
          <w:bCs/>
          <w:sz w:val="22"/>
          <w:szCs w:val="22"/>
        </w:rPr>
        <w:t>rinating or defecating</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Confusion</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Drowsiness</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Crying out</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Becoming rigid</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Holding the breath</w:t>
      </w:r>
    </w:p>
    <w:p w:rsidR="008D22CC" w:rsidRPr="00A316C5" w:rsidRDefault="008D22CC" w:rsidP="008D22CC">
      <w:pPr>
        <w:pStyle w:val="PlainText"/>
        <w:numPr>
          <w:ilvl w:val="0"/>
          <w:numId w:val="3"/>
        </w:numPr>
        <w:rPr>
          <w:rFonts w:ascii="Arial" w:hAnsi="Arial" w:cs="Arial"/>
          <w:sz w:val="22"/>
          <w:szCs w:val="22"/>
        </w:rPr>
      </w:pPr>
      <w:r w:rsidRPr="00A316C5">
        <w:rPr>
          <w:rFonts w:ascii="Arial" w:hAnsi="Arial" w:cs="Arial"/>
          <w:bCs/>
          <w:sz w:val="22"/>
          <w:szCs w:val="22"/>
        </w:rPr>
        <w:t>Upward rolling of the eyes</w:t>
      </w:r>
      <w:r w:rsidRPr="00A316C5">
        <w:rPr>
          <w:rFonts w:ascii="Arial" w:hAnsi="Arial" w:cs="Arial"/>
          <w:sz w:val="22"/>
          <w:szCs w:val="22"/>
        </w:rPr>
        <w:t xml:space="preserve">  </w:t>
      </w: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 xml:space="preserve">  </w:t>
      </w:r>
    </w:p>
    <w:p w:rsidR="008D22CC" w:rsidRPr="00A316C5" w:rsidRDefault="008D22CC" w:rsidP="008D22CC">
      <w:pPr>
        <w:pStyle w:val="PlainText"/>
        <w:rPr>
          <w:rFonts w:ascii="Arial" w:hAnsi="Arial" w:cs="Arial"/>
          <w:b/>
          <w:sz w:val="22"/>
          <w:szCs w:val="22"/>
        </w:rPr>
      </w:pPr>
      <w:r w:rsidRPr="00A316C5">
        <w:rPr>
          <w:rFonts w:ascii="Arial" w:hAnsi="Arial" w:cs="Arial"/>
          <w:b/>
          <w:sz w:val="22"/>
          <w:szCs w:val="22"/>
        </w:rPr>
        <w:t>First Aid for a Seizure (American Red Cross)</w:t>
      </w:r>
    </w:p>
    <w:p w:rsidR="008D22CC" w:rsidRPr="00A316C5" w:rsidRDefault="008D22CC" w:rsidP="008D22CC">
      <w:pPr>
        <w:pStyle w:val="PlainText"/>
        <w:numPr>
          <w:ilvl w:val="0"/>
          <w:numId w:val="4"/>
        </w:numPr>
        <w:rPr>
          <w:rFonts w:ascii="Arial" w:hAnsi="Arial" w:cs="Arial"/>
          <w:sz w:val="22"/>
          <w:szCs w:val="22"/>
        </w:rPr>
      </w:pPr>
      <w:r w:rsidRPr="00A316C5">
        <w:rPr>
          <w:rFonts w:ascii="Arial" w:hAnsi="Arial" w:cs="Arial"/>
          <w:bCs/>
          <w:sz w:val="22"/>
          <w:szCs w:val="22"/>
        </w:rPr>
        <w:t>Do not try to hold or restrain the victim.</w:t>
      </w:r>
    </w:p>
    <w:p w:rsidR="008D22CC" w:rsidRPr="00A316C5" w:rsidRDefault="008D22CC" w:rsidP="008D22CC">
      <w:pPr>
        <w:pStyle w:val="PlainText"/>
        <w:numPr>
          <w:ilvl w:val="0"/>
          <w:numId w:val="4"/>
        </w:numPr>
        <w:rPr>
          <w:rFonts w:ascii="Arial" w:hAnsi="Arial" w:cs="Arial"/>
          <w:sz w:val="22"/>
          <w:szCs w:val="22"/>
        </w:rPr>
      </w:pPr>
      <w:r w:rsidRPr="00A316C5">
        <w:rPr>
          <w:rFonts w:ascii="Arial" w:hAnsi="Arial" w:cs="Arial"/>
          <w:bCs/>
          <w:sz w:val="22"/>
          <w:szCs w:val="22"/>
        </w:rPr>
        <w:t>Protect the victim from injury and maintain an open airway.</w:t>
      </w:r>
    </w:p>
    <w:p w:rsidR="008D22CC" w:rsidRPr="00A316C5" w:rsidRDefault="008D22CC" w:rsidP="008D22CC">
      <w:pPr>
        <w:pStyle w:val="PlainText"/>
        <w:numPr>
          <w:ilvl w:val="0"/>
          <w:numId w:val="4"/>
        </w:numPr>
        <w:rPr>
          <w:rFonts w:ascii="Arial" w:hAnsi="Arial" w:cs="Arial"/>
          <w:sz w:val="22"/>
          <w:szCs w:val="22"/>
        </w:rPr>
      </w:pPr>
      <w:r w:rsidRPr="00A316C5">
        <w:rPr>
          <w:rFonts w:ascii="Arial" w:hAnsi="Arial" w:cs="Arial"/>
          <w:bCs/>
          <w:sz w:val="22"/>
          <w:szCs w:val="22"/>
        </w:rPr>
        <w:t>Remove nearby objects that could cause injury.</w:t>
      </w:r>
    </w:p>
    <w:p w:rsidR="008D22CC" w:rsidRPr="00A316C5" w:rsidRDefault="008D22CC" w:rsidP="008D22CC">
      <w:pPr>
        <w:pStyle w:val="PlainText"/>
        <w:numPr>
          <w:ilvl w:val="0"/>
          <w:numId w:val="4"/>
        </w:numPr>
        <w:rPr>
          <w:rFonts w:ascii="Arial" w:hAnsi="Arial" w:cs="Arial"/>
          <w:sz w:val="22"/>
          <w:szCs w:val="22"/>
        </w:rPr>
      </w:pPr>
      <w:r w:rsidRPr="00A316C5">
        <w:rPr>
          <w:rFonts w:ascii="Arial" w:hAnsi="Arial" w:cs="Arial"/>
          <w:bCs/>
          <w:sz w:val="22"/>
          <w:szCs w:val="22"/>
        </w:rPr>
        <w:t>After the seizure, position him or her on one side so that fluid can drain from the mouth.</w:t>
      </w:r>
    </w:p>
    <w:p w:rsidR="008D22CC" w:rsidRPr="00A316C5" w:rsidRDefault="008D22CC" w:rsidP="008D22CC">
      <w:pPr>
        <w:pStyle w:val="PlainText"/>
        <w:numPr>
          <w:ilvl w:val="0"/>
          <w:numId w:val="4"/>
        </w:numPr>
        <w:rPr>
          <w:rFonts w:ascii="Arial" w:hAnsi="Arial" w:cs="Arial"/>
          <w:sz w:val="22"/>
          <w:szCs w:val="22"/>
        </w:rPr>
      </w:pPr>
      <w:r w:rsidRPr="00A316C5">
        <w:rPr>
          <w:rFonts w:ascii="Arial" w:hAnsi="Arial" w:cs="Arial"/>
          <w:bCs/>
          <w:sz w:val="22"/>
          <w:szCs w:val="22"/>
        </w:rPr>
        <w:t xml:space="preserve">Check for life-threatening conditions. </w:t>
      </w:r>
    </w:p>
    <w:p w:rsidR="008D22CC" w:rsidRPr="00A316C5" w:rsidRDefault="008D22CC" w:rsidP="008D22CC">
      <w:pPr>
        <w:pStyle w:val="PlainText"/>
        <w:numPr>
          <w:ilvl w:val="0"/>
          <w:numId w:val="4"/>
        </w:numPr>
        <w:rPr>
          <w:rFonts w:ascii="Arial" w:hAnsi="Arial" w:cs="Arial"/>
          <w:sz w:val="22"/>
          <w:szCs w:val="22"/>
        </w:rPr>
      </w:pPr>
      <w:r w:rsidRPr="00A316C5">
        <w:rPr>
          <w:rFonts w:ascii="Arial" w:hAnsi="Arial" w:cs="Arial"/>
          <w:bCs/>
          <w:sz w:val="22"/>
          <w:szCs w:val="22"/>
        </w:rPr>
        <w:t>Stay with the victim until he or she is fully conscious and aware of his or her surroundings.</w:t>
      </w:r>
    </w:p>
    <w:p w:rsidR="008D22CC" w:rsidRDefault="008D22CC" w:rsidP="008D22CC">
      <w:pPr>
        <w:pStyle w:val="PlainText"/>
        <w:rPr>
          <w:rFonts w:ascii="Arial" w:hAnsi="Arial" w:cs="Arial"/>
          <w:sz w:val="22"/>
          <w:szCs w:val="22"/>
        </w:rPr>
      </w:pPr>
    </w:p>
    <w:p w:rsidR="008D22CC" w:rsidRPr="00A316C5" w:rsidRDefault="008D22CC" w:rsidP="008D22CC">
      <w:pPr>
        <w:pStyle w:val="PlainText"/>
        <w:rPr>
          <w:rFonts w:ascii="Arial" w:hAnsi="Arial" w:cs="Arial"/>
          <w:sz w:val="22"/>
          <w:szCs w:val="22"/>
        </w:rPr>
      </w:pPr>
      <w:r w:rsidRPr="00A316C5">
        <w:rPr>
          <w:rFonts w:ascii="Arial" w:hAnsi="Arial" w:cs="Arial"/>
          <w:sz w:val="22"/>
          <w:szCs w:val="22"/>
        </w:rPr>
        <w:t>8. Reserving the TMS/tDCS room: The TMS room is shared by many investigators. Dr. Newman-Norlund is in charge of the calendar to the TMS room. Please contact him with the desired times.</w:t>
      </w:r>
    </w:p>
    <w:p w:rsidR="00BA487A" w:rsidRDefault="00BA487A"/>
    <w:sectPr w:rsidR="00BA487A" w:rsidSect="00BA4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40230"/>
    <w:multiLevelType w:val="hybridMultilevel"/>
    <w:tmpl w:val="4BEE3C70"/>
    <w:lvl w:ilvl="0" w:tplc="05B654C6">
      <w:start w:val="1"/>
      <w:numFmt w:val="bullet"/>
      <w:lvlText w:val=""/>
      <w:lvlJc w:val="left"/>
      <w:pPr>
        <w:tabs>
          <w:tab w:val="num" w:pos="360"/>
        </w:tabs>
        <w:ind w:left="360" w:hanging="360"/>
      </w:pPr>
      <w:rPr>
        <w:rFonts w:ascii="Wingdings 2" w:hAnsi="Wingdings 2" w:hint="default"/>
      </w:rPr>
    </w:lvl>
    <w:lvl w:ilvl="1" w:tplc="C4DCC710" w:tentative="1">
      <w:start w:val="1"/>
      <w:numFmt w:val="bullet"/>
      <w:lvlText w:val=""/>
      <w:lvlJc w:val="left"/>
      <w:pPr>
        <w:tabs>
          <w:tab w:val="num" w:pos="1080"/>
        </w:tabs>
        <w:ind w:left="1080" w:hanging="360"/>
      </w:pPr>
      <w:rPr>
        <w:rFonts w:ascii="Wingdings 2" w:hAnsi="Wingdings 2" w:hint="default"/>
      </w:rPr>
    </w:lvl>
    <w:lvl w:ilvl="2" w:tplc="4A8ADF1C" w:tentative="1">
      <w:start w:val="1"/>
      <w:numFmt w:val="bullet"/>
      <w:lvlText w:val=""/>
      <w:lvlJc w:val="left"/>
      <w:pPr>
        <w:tabs>
          <w:tab w:val="num" w:pos="1800"/>
        </w:tabs>
        <w:ind w:left="1800" w:hanging="360"/>
      </w:pPr>
      <w:rPr>
        <w:rFonts w:ascii="Wingdings 2" w:hAnsi="Wingdings 2" w:hint="default"/>
      </w:rPr>
    </w:lvl>
    <w:lvl w:ilvl="3" w:tplc="BABEA17A" w:tentative="1">
      <w:start w:val="1"/>
      <w:numFmt w:val="bullet"/>
      <w:lvlText w:val=""/>
      <w:lvlJc w:val="left"/>
      <w:pPr>
        <w:tabs>
          <w:tab w:val="num" w:pos="2520"/>
        </w:tabs>
        <w:ind w:left="2520" w:hanging="360"/>
      </w:pPr>
      <w:rPr>
        <w:rFonts w:ascii="Wingdings 2" w:hAnsi="Wingdings 2" w:hint="default"/>
      </w:rPr>
    </w:lvl>
    <w:lvl w:ilvl="4" w:tplc="5B0C723A" w:tentative="1">
      <w:start w:val="1"/>
      <w:numFmt w:val="bullet"/>
      <w:lvlText w:val=""/>
      <w:lvlJc w:val="left"/>
      <w:pPr>
        <w:tabs>
          <w:tab w:val="num" w:pos="3240"/>
        </w:tabs>
        <w:ind w:left="3240" w:hanging="360"/>
      </w:pPr>
      <w:rPr>
        <w:rFonts w:ascii="Wingdings 2" w:hAnsi="Wingdings 2" w:hint="default"/>
      </w:rPr>
    </w:lvl>
    <w:lvl w:ilvl="5" w:tplc="BAE8F096" w:tentative="1">
      <w:start w:val="1"/>
      <w:numFmt w:val="bullet"/>
      <w:lvlText w:val=""/>
      <w:lvlJc w:val="left"/>
      <w:pPr>
        <w:tabs>
          <w:tab w:val="num" w:pos="3960"/>
        </w:tabs>
        <w:ind w:left="3960" w:hanging="360"/>
      </w:pPr>
      <w:rPr>
        <w:rFonts w:ascii="Wingdings 2" w:hAnsi="Wingdings 2" w:hint="default"/>
      </w:rPr>
    </w:lvl>
    <w:lvl w:ilvl="6" w:tplc="5C56E26A" w:tentative="1">
      <w:start w:val="1"/>
      <w:numFmt w:val="bullet"/>
      <w:lvlText w:val=""/>
      <w:lvlJc w:val="left"/>
      <w:pPr>
        <w:tabs>
          <w:tab w:val="num" w:pos="4680"/>
        </w:tabs>
        <w:ind w:left="4680" w:hanging="360"/>
      </w:pPr>
      <w:rPr>
        <w:rFonts w:ascii="Wingdings 2" w:hAnsi="Wingdings 2" w:hint="default"/>
      </w:rPr>
    </w:lvl>
    <w:lvl w:ilvl="7" w:tplc="875EC47C" w:tentative="1">
      <w:start w:val="1"/>
      <w:numFmt w:val="bullet"/>
      <w:lvlText w:val=""/>
      <w:lvlJc w:val="left"/>
      <w:pPr>
        <w:tabs>
          <w:tab w:val="num" w:pos="5400"/>
        </w:tabs>
        <w:ind w:left="5400" w:hanging="360"/>
      </w:pPr>
      <w:rPr>
        <w:rFonts w:ascii="Wingdings 2" w:hAnsi="Wingdings 2" w:hint="default"/>
      </w:rPr>
    </w:lvl>
    <w:lvl w:ilvl="8" w:tplc="48A2F8D0" w:tentative="1">
      <w:start w:val="1"/>
      <w:numFmt w:val="bullet"/>
      <w:lvlText w:val=""/>
      <w:lvlJc w:val="left"/>
      <w:pPr>
        <w:tabs>
          <w:tab w:val="num" w:pos="6120"/>
        </w:tabs>
        <w:ind w:left="6120" w:hanging="360"/>
      </w:pPr>
      <w:rPr>
        <w:rFonts w:ascii="Wingdings 2" w:hAnsi="Wingdings 2" w:hint="default"/>
      </w:rPr>
    </w:lvl>
  </w:abstractNum>
  <w:abstractNum w:abstractNumId="1">
    <w:nsid w:val="388033A1"/>
    <w:multiLevelType w:val="hybridMultilevel"/>
    <w:tmpl w:val="CEC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10163"/>
    <w:multiLevelType w:val="hybridMultilevel"/>
    <w:tmpl w:val="B3C2998E"/>
    <w:lvl w:ilvl="0" w:tplc="4A60B114">
      <w:start w:val="1"/>
      <w:numFmt w:val="bullet"/>
      <w:lvlText w:val=""/>
      <w:lvlJc w:val="left"/>
      <w:pPr>
        <w:tabs>
          <w:tab w:val="num" w:pos="360"/>
        </w:tabs>
        <w:ind w:left="360" w:hanging="360"/>
      </w:pPr>
      <w:rPr>
        <w:rFonts w:ascii="Wingdings 2" w:hAnsi="Wingdings 2" w:hint="default"/>
      </w:rPr>
    </w:lvl>
    <w:lvl w:ilvl="1" w:tplc="BBFC6914">
      <w:start w:val="1"/>
      <w:numFmt w:val="bullet"/>
      <w:lvlText w:val=""/>
      <w:lvlJc w:val="left"/>
      <w:pPr>
        <w:tabs>
          <w:tab w:val="num" w:pos="1080"/>
        </w:tabs>
        <w:ind w:left="1080" w:hanging="360"/>
      </w:pPr>
      <w:rPr>
        <w:rFonts w:ascii="Wingdings 2" w:hAnsi="Wingdings 2" w:hint="default"/>
      </w:rPr>
    </w:lvl>
    <w:lvl w:ilvl="2" w:tplc="815C140A">
      <w:start w:val="865"/>
      <w:numFmt w:val="bullet"/>
      <w:lvlText w:val=""/>
      <w:lvlJc w:val="left"/>
      <w:pPr>
        <w:tabs>
          <w:tab w:val="num" w:pos="1800"/>
        </w:tabs>
        <w:ind w:left="1800" w:hanging="360"/>
      </w:pPr>
      <w:rPr>
        <w:rFonts w:ascii="Wingdings" w:hAnsi="Wingdings" w:hint="default"/>
      </w:rPr>
    </w:lvl>
    <w:lvl w:ilvl="3" w:tplc="2D3CD270" w:tentative="1">
      <w:start w:val="1"/>
      <w:numFmt w:val="bullet"/>
      <w:lvlText w:val=""/>
      <w:lvlJc w:val="left"/>
      <w:pPr>
        <w:tabs>
          <w:tab w:val="num" w:pos="2520"/>
        </w:tabs>
        <w:ind w:left="2520" w:hanging="360"/>
      </w:pPr>
      <w:rPr>
        <w:rFonts w:ascii="Wingdings 2" w:hAnsi="Wingdings 2" w:hint="default"/>
      </w:rPr>
    </w:lvl>
    <w:lvl w:ilvl="4" w:tplc="D1E61308" w:tentative="1">
      <w:start w:val="1"/>
      <w:numFmt w:val="bullet"/>
      <w:lvlText w:val=""/>
      <w:lvlJc w:val="left"/>
      <w:pPr>
        <w:tabs>
          <w:tab w:val="num" w:pos="3240"/>
        </w:tabs>
        <w:ind w:left="3240" w:hanging="360"/>
      </w:pPr>
      <w:rPr>
        <w:rFonts w:ascii="Wingdings 2" w:hAnsi="Wingdings 2" w:hint="default"/>
      </w:rPr>
    </w:lvl>
    <w:lvl w:ilvl="5" w:tplc="97E6C104" w:tentative="1">
      <w:start w:val="1"/>
      <w:numFmt w:val="bullet"/>
      <w:lvlText w:val=""/>
      <w:lvlJc w:val="left"/>
      <w:pPr>
        <w:tabs>
          <w:tab w:val="num" w:pos="3960"/>
        </w:tabs>
        <w:ind w:left="3960" w:hanging="360"/>
      </w:pPr>
      <w:rPr>
        <w:rFonts w:ascii="Wingdings 2" w:hAnsi="Wingdings 2" w:hint="default"/>
      </w:rPr>
    </w:lvl>
    <w:lvl w:ilvl="6" w:tplc="71BCB556" w:tentative="1">
      <w:start w:val="1"/>
      <w:numFmt w:val="bullet"/>
      <w:lvlText w:val=""/>
      <w:lvlJc w:val="left"/>
      <w:pPr>
        <w:tabs>
          <w:tab w:val="num" w:pos="4680"/>
        </w:tabs>
        <w:ind w:left="4680" w:hanging="360"/>
      </w:pPr>
      <w:rPr>
        <w:rFonts w:ascii="Wingdings 2" w:hAnsi="Wingdings 2" w:hint="default"/>
      </w:rPr>
    </w:lvl>
    <w:lvl w:ilvl="7" w:tplc="13AE5D6A" w:tentative="1">
      <w:start w:val="1"/>
      <w:numFmt w:val="bullet"/>
      <w:lvlText w:val=""/>
      <w:lvlJc w:val="left"/>
      <w:pPr>
        <w:tabs>
          <w:tab w:val="num" w:pos="5400"/>
        </w:tabs>
        <w:ind w:left="5400" w:hanging="360"/>
      </w:pPr>
      <w:rPr>
        <w:rFonts w:ascii="Wingdings 2" w:hAnsi="Wingdings 2" w:hint="default"/>
      </w:rPr>
    </w:lvl>
    <w:lvl w:ilvl="8" w:tplc="2FC04CEA" w:tentative="1">
      <w:start w:val="1"/>
      <w:numFmt w:val="bullet"/>
      <w:lvlText w:val=""/>
      <w:lvlJc w:val="left"/>
      <w:pPr>
        <w:tabs>
          <w:tab w:val="num" w:pos="6120"/>
        </w:tabs>
        <w:ind w:left="6120" w:hanging="360"/>
      </w:pPr>
      <w:rPr>
        <w:rFonts w:ascii="Wingdings 2" w:hAnsi="Wingdings 2" w:hint="default"/>
      </w:rPr>
    </w:lvl>
  </w:abstractNum>
  <w:abstractNum w:abstractNumId="3">
    <w:nsid w:val="6B4F172F"/>
    <w:multiLevelType w:val="hybridMultilevel"/>
    <w:tmpl w:val="4DE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22CC"/>
    <w:rsid w:val="007E32D0"/>
    <w:rsid w:val="008D22CC"/>
    <w:rsid w:val="00972B16"/>
    <w:rsid w:val="00B33916"/>
    <w:rsid w:val="00BA487A"/>
    <w:rsid w:val="00D64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22C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D22CC"/>
    <w:rPr>
      <w:rFonts w:ascii="Consolas" w:eastAsia="Calibri" w:hAnsi="Consolas" w:cs="Times New Roman"/>
      <w:sz w:val="21"/>
      <w:szCs w:val="21"/>
    </w:rPr>
  </w:style>
  <w:style w:type="character" w:styleId="Hyperlink">
    <w:name w:val="Hyperlink"/>
    <w:basedOn w:val="DefaultParagraphFont"/>
    <w:uiPriority w:val="99"/>
    <w:semiHidden/>
    <w:unhideWhenUsed/>
    <w:rsid w:val="008D22CC"/>
    <w:rPr>
      <w:color w:val="0000FF"/>
      <w:u w:val="single"/>
    </w:rPr>
  </w:style>
  <w:style w:type="paragraph" w:styleId="ListParagraph">
    <w:name w:val="List Paragraph"/>
    <w:basedOn w:val="Normal"/>
    <w:uiPriority w:val="34"/>
    <w:qFormat/>
    <w:rsid w:val="008D2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hamphetamine" TargetMode="External"/><Relationship Id="rId13" Type="http://schemas.openxmlformats.org/officeDocument/2006/relationships/hyperlink" Target="http://en.wikipedia.org/wiki/Cathinone" TargetMode="External"/><Relationship Id="rId18" Type="http://schemas.openxmlformats.org/officeDocument/2006/relationships/hyperlink" Target="http://en.wikipedia.org/wiki/Pemoline" TargetMode="External"/><Relationship Id="rId3" Type="http://schemas.openxmlformats.org/officeDocument/2006/relationships/settings" Target="settings.xml"/><Relationship Id="rId21" Type="http://schemas.openxmlformats.org/officeDocument/2006/relationships/hyperlink" Target="http://www.drugs.com/cdi/aquachloral-supprettes-suppositories.html" TargetMode="External"/><Relationship Id="rId7" Type="http://schemas.openxmlformats.org/officeDocument/2006/relationships/hyperlink" Target="http://en.wikipedia.org/wiki/Amphetamine" TargetMode="External"/><Relationship Id="rId12" Type="http://schemas.openxmlformats.org/officeDocument/2006/relationships/hyperlink" Target="http://en.wikipedia.org/wiki/Erythroxylum_coca" TargetMode="External"/><Relationship Id="rId17" Type="http://schemas.openxmlformats.org/officeDocument/2006/relationships/hyperlink" Target="http://en.wikipedia.org/wiki/4-methylaminorex" TargetMode="External"/><Relationship Id="rId2" Type="http://schemas.openxmlformats.org/officeDocument/2006/relationships/styles" Target="styles.xml"/><Relationship Id="rId16" Type="http://schemas.openxmlformats.org/officeDocument/2006/relationships/hyperlink" Target="http://en.wikipedia.org/wiki/Methylenedioxypyrovalerone" TargetMode="External"/><Relationship Id="rId20" Type="http://schemas.openxmlformats.org/officeDocument/2006/relationships/hyperlink" Target="http://en.wikipedia.org/wiki/Propylhexedrine" TargetMode="External"/><Relationship Id="rId1" Type="http://schemas.openxmlformats.org/officeDocument/2006/relationships/numbering" Target="numbering.xml"/><Relationship Id="rId6" Type="http://schemas.openxmlformats.org/officeDocument/2006/relationships/hyperlink" Target="http://en.wikipedia.org/wiki/Pseudoephedrine" TargetMode="External"/><Relationship Id="rId11" Type="http://schemas.openxmlformats.org/officeDocument/2006/relationships/hyperlink" Target="http://en.wikipedia.org/wiki/Cocaine" TargetMode="External"/><Relationship Id="rId5" Type="http://schemas.openxmlformats.org/officeDocument/2006/relationships/hyperlink" Target="http://en.wikipedia.org/wiki/Ephedrine" TargetMode="External"/><Relationship Id="rId15" Type="http://schemas.openxmlformats.org/officeDocument/2006/relationships/hyperlink" Target="http://en.wikipedia.org/wiki/Benzylpiperazine" TargetMode="External"/><Relationship Id="rId23" Type="http://schemas.openxmlformats.org/officeDocument/2006/relationships/theme" Target="theme/theme1.xml"/><Relationship Id="rId10" Type="http://schemas.openxmlformats.org/officeDocument/2006/relationships/hyperlink" Target="http://en.wikipedia.org/wiki/Lisdexamfetamine" TargetMode="External"/><Relationship Id="rId19" Type="http://schemas.openxmlformats.org/officeDocument/2006/relationships/hyperlink" Target="http://en.wikipedia.org/wiki/Phenmetrazine" TargetMode="External"/><Relationship Id="rId4" Type="http://schemas.openxmlformats.org/officeDocument/2006/relationships/webSettings" Target="webSettings.xml"/><Relationship Id="rId9" Type="http://schemas.openxmlformats.org/officeDocument/2006/relationships/hyperlink" Target="http://en.wikipedia.org/wiki/Methylphenidate" TargetMode="External"/><Relationship Id="rId14" Type="http://schemas.openxmlformats.org/officeDocument/2006/relationships/hyperlink" Target="http://en.wikipedia.org/wiki/Cath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Davis</dc:creator>
  <cp:lastModifiedBy>RDN</cp:lastModifiedBy>
  <cp:revision>3</cp:revision>
  <dcterms:created xsi:type="dcterms:W3CDTF">2010-10-19T14:57:00Z</dcterms:created>
  <dcterms:modified xsi:type="dcterms:W3CDTF">2010-12-13T16:50:00Z</dcterms:modified>
</cp:coreProperties>
</file>